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B5" w:rsidRDefault="00F20EB5" w:rsidP="005C73A4">
      <w:pPr>
        <w:jc w:val="center"/>
        <w:rPr>
          <w:b/>
          <w:sz w:val="28"/>
          <w:szCs w:val="28"/>
          <w:highlight w:val="yellow"/>
          <w:lang w:val="en-US"/>
        </w:rPr>
      </w:pPr>
      <w:r>
        <w:rPr>
          <w:b/>
          <w:noProof/>
          <w:sz w:val="28"/>
          <w:szCs w:val="28"/>
          <w:lang w:val="fr-FR" w:eastAsia="fr-FR"/>
        </w:rPr>
        <w:drawing>
          <wp:anchor distT="0" distB="0" distL="114300" distR="114300" simplePos="0" relativeHeight="251682304" behindDoc="0" locked="0" layoutInCell="1" allowOverlap="1">
            <wp:simplePos x="0" y="0"/>
            <wp:positionH relativeFrom="column">
              <wp:posOffset>5142230</wp:posOffset>
            </wp:positionH>
            <wp:positionV relativeFrom="paragraph">
              <wp:posOffset>-537845</wp:posOffset>
            </wp:positionV>
            <wp:extent cx="724535" cy="724535"/>
            <wp:effectExtent l="0" t="0" r="0" b="0"/>
            <wp:wrapThrough wrapText="bothSides">
              <wp:wrapPolygon edited="0">
                <wp:start x="0" y="0"/>
                <wp:lineTo x="0" y="21202"/>
                <wp:lineTo x="21202" y="21202"/>
                <wp:lineTo x="212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anchor>
        </w:drawing>
      </w:r>
      <w:r>
        <w:rPr>
          <w:b/>
          <w:noProof/>
          <w:sz w:val="28"/>
          <w:szCs w:val="28"/>
          <w:lang w:val="fr-FR" w:eastAsia="fr-FR"/>
        </w:rPr>
        <w:drawing>
          <wp:anchor distT="0" distB="0" distL="114300" distR="114300" simplePos="0" relativeHeight="251655680" behindDoc="1" locked="0" layoutInCell="1" allowOverlap="1">
            <wp:simplePos x="0" y="0"/>
            <wp:positionH relativeFrom="column">
              <wp:posOffset>3472180</wp:posOffset>
            </wp:positionH>
            <wp:positionV relativeFrom="paragraph">
              <wp:posOffset>-514350</wp:posOffset>
            </wp:positionV>
            <wp:extent cx="762000" cy="677545"/>
            <wp:effectExtent l="0" t="0" r="0" b="0"/>
            <wp:wrapThrough wrapText="bothSides">
              <wp:wrapPolygon edited="0">
                <wp:start x="0" y="0"/>
                <wp:lineTo x="0" y="15385"/>
                <wp:lineTo x="7200" y="21053"/>
                <wp:lineTo x="11520" y="21053"/>
                <wp:lineTo x="20880" y="17005"/>
                <wp:lineTo x="20880" y="13766"/>
                <wp:lineTo x="20160" y="12956"/>
                <wp:lineTo x="16560" y="0"/>
                <wp:lineTo x="0" y="0"/>
              </wp:wrapPolygon>
            </wp:wrapThrough>
            <wp:docPr id="2" name="Picture 2" descr="F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RMi.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677545"/>
                    </a:xfrm>
                    <a:prstGeom prst="rect">
                      <a:avLst/>
                    </a:prstGeom>
                    <a:noFill/>
                    <a:ln>
                      <a:noFill/>
                    </a:ln>
                  </pic:spPr>
                </pic:pic>
              </a:graphicData>
            </a:graphic>
          </wp:anchor>
        </w:drawing>
      </w:r>
      <w:r>
        <w:rPr>
          <w:b/>
          <w:noProof/>
          <w:sz w:val="28"/>
          <w:szCs w:val="28"/>
          <w:lang w:val="fr-FR" w:eastAsia="fr-FR"/>
        </w:rPr>
        <w:drawing>
          <wp:anchor distT="0" distB="0" distL="114300" distR="114300" simplePos="0" relativeHeight="251640320" behindDoc="0" locked="0" layoutInCell="1" allowOverlap="1">
            <wp:simplePos x="0" y="0"/>
            <wp:positionH relativeFrom="column">
              <wp:posOffset>0</wp:posOffset>
            </wp:positionH>
            <wp:positionV relativeFrom="paragraph">
              <wp:posOffset>-510540</wp:posOffset>
            </wp:positionV>
            <wp:extent cx="467360" cy="669925"/>
            <wp:effectExtent l="0" t="0" r="0" b="0"/>
            <wp:wrapThrough wrapText="bothSides">
              <wp:wrapPolygon edited="0">
                <wp:start x="0" y="0"/>
                <wp:lineTo x="0" y="20474"/>
                <wp:lineTo x="19957" y="20474"/>
                <wp:lineTo x="199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r="76820"/>
                    <a:stretch>
                      <a:fillRect/>
                    </a:stretch>
                  </pic:blipFill>
                  <pic:spPr bwMode="auto">
                    <a:xfrm>
                      <a:off x="0" y="0"/>
                      <a:ext cx="467360" cy="669925"/>
                    </a:xfrm>
                    <a:prstGeom prst="rect">
                      <a:avLst/>
                    </a:prstGeom>
                    <a:noFill/>
                    <a:ln>
                      <a:noFill/>
                    </a:ln>
                  </pic:spPr>
                </pic:pic>
              </a:graphicData>
            </a:graphic>
          </wp:anchor>
        </w:drawing>
      </w:r>
      <w:r>
        <w:rPr>
          <w:b/>
          <w:noProof/>
          <w:sz w:val="28"/>
          <w:szCs w:val="28"/>
          <w:lang w:val="fr-FR" w:eastAsia="fr-FR"/>
        </w:rPr>
        <w:drawing>
          <wp:anchor distT="0" distB="0" distL="114300" distR="114300" simplePos="0" relativeHeight="251670016" behindDoc="0" locked="0" layoutInCell="1" allowOverlap="1">
            <wp:simplePos x="0" y="0"/>
            <wp:positionH relativeFrom="column">
              <wp:posOffset>1375410</wp:posOffset>
            </wp:positionH>
            <wp:positionV relativeFrom="paragraph">
              <wp:posOffset>-365125</wp:posOffset>
            </wp:positionV>
            <wp:extent cx="1188720" cy="379730"/>
            <wp:effectExtent l="0" t="0" r="0" b="0"/>
            <wp:wrapThrough wrapText="bothSides">
              <wp:wrapPolygon edited="0">
                <wp:start x="0" y="0"/>
                <wp:lineTo x="0" y="20227"/>
                <wp:lineTo x="21231" y="20227"/>
                <wp:lineTo x="21231" y="0"/>
                <wp:lineTo x="0" y="0"/>
              </wp:wrapPolygon>
            </wp:wrapThrough>
            <wp:docPr id="3" name="Picture 3" descr="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379730"/>
                    </a:xfrm>
                    <a:prstGeom prst="rect">
                      <a:avLst/>
                    </a:prstGeom>
                    <a:noFill/>
                    <a:ln>
                      <a:noFill/>
                    </a:ln>
                  </pic:spPr>
                </pic:pic>
              </a:graphicData>
            </a:graphic>
          </wp:anchor>
        </w:drawing>
      </w:r>
    </w:p>
    <w:p w:rsidR="00155CA5" w:rsidRPr="000D235E" w:rsidRDefault="00E4440C" w:rsidP="005C73A4">
      <w:pPr>
        <w:jc w:val="center"/>
        <w:rPr>
          <w:b/>
          <w:sz w:val="28"/>
          <w:szCs w:val="28"/>
          <w:lang w:val="en-US"/>
        </w:rPr>
      </w:pPr>
      <w:r>
        <w:rPr>
          <w:b/>
          <w:sz w:val="28"/>
          <w:szCs w:val="28"/>
          <w:lang w:val="en-US"/>
        </w:rPr>
        <w:t>Proposa</w:t>
      </w:r>
      <w:r w:rsidR="00814B9A" w:rsidRPr="000D235E">
        <w:rPr>
          <w:b/>
          <w:sz w:val="28"/>
          <w:szCs w:val="28"/>
          <w:lang w:val="en-US"/>
        </w:rPr>
        <w:t xml:space="preserve">l for integrating </w:t>
      </w:r>
      <w:r>
        <w:rPr>
          <w:b/>
          <w:sz w:val="28"/>
          <w:szCs w:val="28"/>
          <w:lang w:val="en-US"/>
        </w:rPr>
        <w:t xml:space="preserve">Reduced Impact Logging activities within </w:t>
      </w:r>
      <w:r w:rsidR="00814B9A" w:rsidRPr="000D235E">
        <w:rPr>
          <w:b/>
          <w:sz w:val="28"/>
          <w:szCs w:val="28"/>
          <w:lang w:val="en-US"/>
        </w:rPr>
        <w:t>forestry concessions into the benefit-sharing plan of the Mai-Ndo</w:t>
      </w:r>
      <w:r>
        <w:rPr>
          <w:b/>
          <w:sz w:val="28"/>
          <w:szCs w:val="28"/>
          <w:lang w:val="en-US"/>
        </w:rPr>
        <w:t>mbe Emission-Reduction Program</w:t>
      </w:r>
    </w:p>
    <w:p w:rsidR="00BA61FC" w:rsidRDefault="00E4440C" w:rsidP="00814B9A">
      <w:pPr>
        <w:jc w:val="both"/>
        <w:rPr>
          <w:lang w:val="en-US"/>
        </w:rPr>
      </w:pPr>
      <w:r>
        <w:rPr>
          <w:lang w:val="en-US"/>
        </w:rPr>
        <w:t xml:space="preserve">This is a joint proposal made by WWF DRC, WWF Germany, GFA Consulting Group, </w:t>
      </w:r>
      <w:r w:rsidR="00F20EB5" w:rsidRPr="00F20EB5">
        <w:rPr>
          <w:lang w:val="en-US"/>
        </w:rPr>
        <w:t xml:space="preserve">FRM </w:t>
      </w:r>
      <w:proofErr w:type="spellStart"/>
      <w:r w:rsidR="00F20EB5" w:rsidRPr="00F20EB5">
        <w:rPr>
          <w:lang w:val="en-US"/>
        </w:rPr>
        <w:t>Ingénierie</w:t>
      </w:r>
      <w:proofErr w:type="spellEnd"/>
      <w:r w:rsidR="00BD4858">
        <w:rPr>
          <w:lang w:val="en-US"/>
        </w:rPr>
        <w:t xml:space="preserve"> </w:t>
      </w:r>
      <w:r>
        <w:rPr>
          <w:lang w:val="en-US"/>
        </w:rPr>
        <w:t>(</w:t>
      </w:r>
      <w:proofErr w:type="spellStart"/>
      <w:r>
        <w:rPr>
          <w:lang w:val="en-US"/>
        </w:rPr>
        <w:t>FRMi</w:t>
      </w:r>
      <w:proofErr w:type="spellEnd"/>
      <w:r>
        <w:rPr>
          <w:lang w:val="en-US"/>
        </w:rPr>
        <w:t>) and SODEFOR</w:t>
      </w:r>
      <w:r w:rsidR="00BA61FC">
        <w:rPr>
          <w:lang w:val="en-US"/>
        </w:rPr>
        <w:t xml:space="preserve">. It is based on </w:t>
      </w:r>
      <w:r w:rsidR="00814B9A">
        <w:rPr>
          <w:lang w:val="en-US"/>
        </w:rPr>
        <w:t>feasibility, baseline emission and reduced impact</w:t>
      </w:r>
      <w:r w:rsidR="00A13B96">
        <w:rPr>
          <w:lang w:val="en-US"/>
        </w:rPr>
        <w:t xml:space="preserve"> </w:t>
      </w:r>
      <w:r w:rsidR="00814B9A">
        <w:rPr>
          <w:lang w:val="en-US"/>
        </w:rPr>
        <w:t>logging studies undertaken in Mai-Ndombe province by WWF, GFA Consulting Group</w:t>
      </w:r>
      <w:r w:rsidR="00BA61FC">
        <w:rPr>
          <w:lang w:val="en-US"/>
        </w:rPr>
        <w:t xml:space="preserve">, </w:t>
      </w:r>
      <w:proofErr w:type="spellStart"/>
      <w:r w:rsidR="00814B9A">
        <w:rPr>
          <w:lang w:val="en-US"/>
        </w:rPr>
        <w:t>FRMi</w:t>
      </w:r>
      <w:proofErr w:type="spellEnd"/>
      <w:r w:rsidR="00BA61FC">
        <w:rPr>
          <w:lang w:val="en-US"/>
        </w:rPr>
        <w:t xml:space="preserve"> and SODEFOR </w:t>
      </w:r>
      <w:r w:rsidR="00814B9A">
        <w:rPr>
          <w:lang w:val="en-US"/>
        </w:rPr>
        <w:t>(in partnership or alone) from 2013 to 2017.</w:t>
      </w:r>
    </w:p>
    <w:p w:rsidR="00AA2683" w:rsidRDefault="00AA2683" w:rsidP="00814B9A">
      <w:pPr>
        <w:jc w:val="both"/>
        <w:rPr>
          <w:lang w:val="en-US"/>
        </w:rPr>
      </w:pPr>
      <w:r>
        <w:rPr>
          <w:lang w:val="en-US"/>
        </w:rPr>
        <w:t>Its intention is to provide a practical and readily implementable concept for integrating reduced impact logging activities of forestry concessions into the Mai-Ndombe ER-Program benefit sharing plan.</w:t>
      </w:r>
      <w:r w:rsidR="00F42A42">
        <w:rPr>
          <w:lang w:val="en-US"/>
        </w:rPr>
        <w:t xml:space="preserve"> It is only applicable to “reduced impact logging</w:t>
      </w:r>
      <w:r w:rsidR="00814D33">
        <w:rPr>
          <w:lang w:val="en-US"/>
        </w:rPr>
        <w:t>” (RIL)</w:t>
      </w:r>
      <w:r w:rsidR="00F42A42">
        <w:rPr>
          <w:lang w:val="en-US"/>
        </w:rPr>
        <w:t xml:space="preserve"> activities” and does not include “conservation concession</w:t>
      </w:r>
      <w:r w:rsidR="00814D33">
        <w:rPr>
          <w:lang w:val="en-US"/>
        </w:rPr>
        <w:t>” (avoided degradation) activities</w:t>
      </w:r>
      <w:r w:rsidR="00F42A42">
        <w:rPr>
          <w:lang w:val="en-US"/>
        </w:rPr>
        <w:t>.</w:t>
      </w:r>
    </w:p>
    <w:p w:rsidR="00814B9A" w:rsidRPr="005C73A4" w:rsidRDefault="00814B9A" w:rsidP="00814B9A">
      <w:pPr>
        <w:jc w:val="both"/>
        <w:rPr>
          <w:b/>
          <w:sz w:val="24"/>
          <w:szCs w:val="24"/>
          <w:lang w:val="en-US"/>
        </w:rPr>
      </w:pPr>
      <w:r w:rsidRPr="005C73A4">
        <w:rPr>
          <w:b/>
          <w:sz w:val="24"/>
          <w:szCs w:val="24"/>
          <w:lang w:val="en-US"/>
        </w:rPr>
        <w:t>Background and rationale</w:t>
      </w:r>
    </w:p>
    <w:p w:rsidR="008A7E6A" w:rsidRDefault="00356B98" w:rsidP="00814B9A">
      <w:pPr>
        <w:jc w:val="both"/>
        <w:rPr>
          <w:lang w:val="en-US"/>
        </w:rPr>
      </w:pPr>
      <w:r w:rsidRPr="002B533A">
        <w:rPr>
          <w:lang w:val="en-AU"/>
        </w:rPr>
        <w:t xml:space="preserve">There are 20 industrial logging concessions in the Mai Ndombe province, amounting to </w:t>
      </w:r>
      <w:r>
        <w:rPr>
          <w:lang w:val="en-AU"/>
        </w:rPr>
        <w:t>around</w:t>
      </w:r>
      <w:r w:rsidRPr="002B533A">
        <w:rPr>
          <w:lang w:val="en-AU"/>
        </w:rPr>
        <w:t xml:space="preserve"> 3</w:t>
      </w:r>
      <w:r>
        <w:rPr>
          <w:lang w:val="en-AU"/>
        </w:rPr>
        <w:t xml:space="preserve">,552,717 </w:t>
      </w:r>
      <w:r w:rsidRPr="002B533A">
        <w:rPr>
          <w:lang w:val="en-AU"/>
        </w:rPr>
        <w:t xml:space="preserve">ha, </w:t>
      </w:r>
      <w:r>
        <w:rPr>
          <w:lang w:val="en-AU"/>
        </w:rPr>
        <w:t>which represents about 28% of the province’s total area</w:t>
      </w:r>
      <w:r w:rsidR="00814B9A">
        <w:rPr>
          <w:lang w:val="en-US"/>
        </w:rPr>
        <w:t xml:space="preserve">. </w:t>
      </w:r>
      <w:r w:rsidR="00BA61FC">
        <w:rPr>
          <w:lang w:val="en-US"/>
        </w:rPr>
        <w:t>As such</w:t>
      </w:r>
      <w:r w:rsidR="008A7E6A">
        <w:rPr>
          <w:lang w:val="en-US"/>
        </w:rPr>
        <w:t>, forestry concessionaires are responsible for a very significant proportion of the ER-Program's forest area. Actively</w:t>
      </w:r>
      <w:r w:rsidR="00A13B96">
        <w:rPr>
          <w:lang w:val="en-US"/>
        </w:rPr>
        <w:t xml:space="preserve"> </w:t>
      </w:r>
      <w:r w:rsidR="008A7E6A">
        <w:rPr>
          <w:lang w:val="en-US"/>
        </w:rPr>
        <w:t>integrating forestry concessions (i.e. through activities</w:t>
      </w:r>
      <w:r w:rsidR="007839F5">
        <w:rPr>
          <w:lang w:val="en-US"/>
        </w:rPr>
        <w:t xml:space="preserve">) </w:t>
      </w:r>
      <w:r w:rsidR="008A7E6A">
        <w:rPr>
          <w:lang w:val="en-US"/>
        </w:rPr>
        <w:t xml:space="preserve">into the ER-Program </w:t>
      </w:r>
      <w:r w:rsidR="007839F5">
        <w:rPr>
          <w:lang w:val="en-US"/>
        </w:rPr>
        <w:t>is considered vital to ensure that emissions from the forestry sector do not exceed baseline emission but are rather reduced to contribute to ER-Program performance.</w:t>
      </w:r>
    </w:p>
    <w:p w:rsidR="00A139BF" w:rsidRDefault="00814B9A" w:rsidP="00814B9A">
      <w:pPr>
        <w:jc w:val="both"/>
        <w:rPr>
          <w:lang w:val="en-US"/>
        </w:rPr>
      </w:pPr>
      <w:r>
        <w:rPr>
          <w:lang w:val="en-US"/>
        </w:rPr>
        <w:t>The potential of forestry concessionaires to contribute to reducing forest-related emissions has been recognized early in ER-Program development. Two feasibility studies have been undertaken to estimate the potential emission reductions from activities such as reduced impact logging and conservation concessions (Hirsh et al. 2013</w:t>
      </w:r>
      <w:r w:rsidR="00870B7E">
        <w:rPr>
          <w:rStyle w:val="FootnoteReference"/>
          <w:lang w:val="en-US"/>
        </w:rPr>
        <w:footnoteReference w:id="1"/>
      </w:r>
      <w:r>
        <w:rPr>
          <w:lang w:val="en-US"/>
        </w:rPr>
        <w:t xml:space="preserve">, GFA 2014 unpublished). </w:t>
      </w:r>
      <w:r w:rsidR="00A139BF">
        <w:rPr>
          <w:lang w:val="en-US"/>
        </w:rPr>
        <w:t>Both studies came to the conclusion that RIL activities would be financially viable at a carbon price of USD 5 or more.</w:t>
      </w:r>
    </w:p>
    <w:p w:rsidR="003163FC" w:rsidRDefault="003163FC" w:rsidP="003163FC">
      <w:pPr>
        <w:jc w:val="both"/>
        <w:rPr>
          <w:lang w:val="en-US"/>
        </w:rPr>
      </w:pPr>
      <w:r>
        <w:rPr>
          <w:lang w:val="en-US"/>
        </w:rPr>
        <w:t xml:space="preserve">SODEFOR, who is the major player in Mai-Ndombe province with 12 concessions totaling approx. 2.5 million ha, has expressed its interest in participating in the ER-Program </w:t>
      </w:r>
      <w:r w:rsidR="007067CF">
        <w:rPr>
          <w:lang w:val="en-US"/>
        </w:rPr>
        <w:t xml:space="preserve">and start some pilot activities </w:t>
      </w:r>
      <w:r w:rsidR="00C561A2">
        <w:rPr>
          <w:lang w:val="en-US"/>
        </w:rPr>
        <w:t xml:space="preserve">as early </w:t>
      </w:r>
      <w:r w:rsidR="00C561A2" w:rsidRPr="007067CF">
        <w:rPr>
          <w:lang w:val="en-US"/>
        </w:rPr>
        <w:t xml:space="preserve">as </w:t>
      </w:r>
      <w:r w:rsidR="007067CF" w:rsidRPr="007067CF">
        <w:rPr>
          <w:lang w:val="en-US"/>
        </w:rPr>
        <w:t>2011</w:t>
      </w:r>
      <w:r w:rsidR="00BF701E" w:rsidRPr="007067CF">
        <w:rPr>
          <w:lang w:val="en-US"/>
        </w:rPr>
        <w:t>.</w:t>
      </w:r>
    </w:p>
    <w:p w:rsidR="00814B9A" w:rsidRDefault="00814B9A" w:rsidP="00814B9A">
      <w:pPr>
        <w:jc w:val="both"/>
        <w:rPr>
          <w:lang w:val="en-US"/>
        </w:rPr>
      </w:pPr>
      <w:r>
        <w:rPr>
          <w:lang w:val="en-US"/>
        </w:rPr>
        <w:t>In 2015, the ER-Program commissioned a study to establish concession-specific baselines under the ER-Program. The results showed that in comparison to emissions from deforestation, emissions from logging were historically very low, less than 1 million tCO2 per year during the reference period</w:t>
      </w:r>
      <w:r w:rsidR="008D7017">
        <w:rPr>
          <w:lang w:val="en-US"/>
        </w:rPr>
        <w:t xml:space="preserve"> (</w:t>
      </w:r>
      <w:proofErr w:type="spellStart"/>
      <w:r w:rsidR="008D7017">
        <w:rPr>
          <w:lang w:val="en-US"/>
        </w:rPr>
        <w:t>FRMi</w:t>
      </w:r>
      <w:proofErr w:type="spellEnd"/>
      <w:r w:rsidR="008D7017">
        <w:rPr>
          <w:lang w:val="en-US"/>
        </w:rPr>
        <w:t xml:space="preserve"> 2015</w:t>
      </w:r>
      <w:r w:rsidR="001C26D9">
        <w:rPr>
          <w:rStyle w:val="FootnoteReference"/>
          <w:lang w:val="en-US"/>
        </w:rPr>
        <w:footnoteReference w:id="2"/>
      </w:r>
      <w:r w:rsidR="008D7017">
        <w:rPr>
          <w:lang w:val="en-US"/>
        </w:rPr>
        <w:t xml:space="preserve">). Considering the low emissions and in order to simplify ER-Program accounting, CN-REDD decided to exclude a specific reference emission level for forestry concessions and rather include them under the overall reference emission level. Whether the performance of forestry </w:t>
      </w:r>
      <w:r w:rsidR="008D7017">
        <w:rPr>
          <w:lang w:val="en-US"/>
        </w:rPr>
        <w:lastRenderedPageBreak/>
        <w:t>concessions would still be measured against an internal concession-specific baseline or rather using “proxies” was left open at that time.</w:t>
      </w:r>
    </w:p>
    <w:p w:rsidR="008D7017" w:rsidRPr="005C73A4" w:rsidRDefault="008D7017" w:rsidP="00814B9A">
      <w:pPr>
        <w:jc w:val="both"/>
        <w:rPr>
          <w:b/>
          <w:sz w:val="24"/>
          <w:szCs w:val="24"/>
          <w:lang w:val="en-US"/>
        </w:rPr>
      </w:pPr>
      <w:r w:rsidRPr="005C73A4">
        <w:rPr>
          <w:b/>
          <w:sz w:val="24"/>
          <w:szCs w:val="24"/>
          <w:lang w:val="en-US"/>
        </w:rPr>
        <w:t>Concession specific baselines vs. proxy scheme</w:t>
      </w:r>
    </w:p>
    <w:p w:rsidR="002A573F" w:rsidRDefault="008D7017" w:rsidP="00814B9A">
      <w:pPr>
        <w:jc w:val="both"/>
        <w:rPr>
          <w:lang w:val="en-US"/>
        </w:rPr>
      </w:pPr>
      <w:r>
        <w:rPr>
          <w:lang w:val="en-US"/>
        </w:rPr>
        <w:t>The forestry concession baseline study (</w:t>
      </w:r>
      <w:proofErr w:type="spellStart"/>
      <w:r>
        <w:rPr>
          <w:lang w:val="en-US"/>
        </w:rPr>
        <w:t>FRMi</w:t>
      </w:r>
      <w:proofErr w:type="spellEnd"/>
      <w:r>
        <w:rPr>
          <w:lang w:val="en-US"/>
        </w:rPr>
        <w:t xml:space="preserve"> 2015) highlighted several problems related to estimating baseline emissions for forestry concessions. </w:t>
      </w:r>
      <w:r w:rsidR="002C157C">
        <w:rPr>
          <w:lang w:val="en-US"/>
        </w:rPr>
        <w:t xml:space="preserve">One of the major </w:t>
      </w:r>
      <w:r>
        <w:rPr>
          <w:lang w:val="en-US"/>
        </w:rPr>
        <w:t>problem</w:t>
      </w:r>
      <w:r w:rsidR="002C157C">
        <w:rPr>
          <w:lang w:val="en-US"/>
        </w:rPr>
        <w:t>s</w:t>
      </w:r>
      <w:r>
        <w:rPr>
          <w:lang w:val="en-US"/>
        </w:rPr>
        <w:t xml:space="preserve"> is to correctly predict the harvested area and volume, which is key for calculating all logging-related emissions. </w:t>
      </w:r>
      <w:r w:rsidR="00C61798">
        <w:rPr>
          <w:lang w:val="en-US"/>
        </w:rPr>
        <w:t xml:space="preserve">Historical emissions </w:t>
      </w:r>
      <w:r w:rsidR="00A139BF">
        <w:rPr>
          <w:lang w:val="en-US"/>
        </w:rPr>
        <w:t>are</w:t>
      </w:r>
      <w:r w:rsidR="00C61798">
        <w:rPr>
          <w:lang w:val="en-US"/>
        </w:rPr>
        <w:t xml:space="preserve"> comparatively low and it was not considered appropriate to use the historical average. One reason for this is the fact that some concessions were not harvested during the reference period, but would likely be harvested during the program period. Further, volume and area to be harvested may vary significantly during the program period compared to the reference period. Effectively, the volume and thus area to be har</w:t>
      </w:r>
      <w:r w:rsidR="005F60C0">
        <w:rPr>
          <w:lang w:val="en-US"/>
        </w:rPr>
        <w:t>vested depends very much on market demand, which is volatile.</w:t>
      </w:r>
      <w:r w:rsidR="00E07B03">
        <w:rPr>
          <w:lang w:val="en-US"/>
        </w:rPr>
        <w:t xml:space="preserve"> Another very important factor is the general "business climate" in DRC. The business climate is related to many other factors such as political stability, level of taxation, efficiency of administrative approvals, </w:t>
      </w:r>
      <w:r w:rsidR="000931BA">
        <w:rPr>
          <w:lang w:val="en-US"/>
        </w:rPr>
        <w:t xml:space="preserve">availability and quality of </w:t>
      </w:r>
      <w:r w:rsidR="00E07B03">
        <w:rPr>
          <w:lang w:val="en-US"/>
        </w:rPr>
        <w:t>infrastructur</w:t>
      </w:r>
      <w:r w:rsidR="000931BA">
        <w:rPr>
          <w:lang w:val="en-US"/>
        </w:rPr>
        <w:t>e, etc</w:t>
      </w:r>
      <w:r w:rsidR="0092766F">
        <w:rPr>
          <w:lang w:val="en-US"/>
        </w:rPr>
        <w:t>.</w:t>
      </w:r>
      <w:r w:rsidR="00E07B03">
        <w:rPr>
          <w:lang w:val="en-US"/>
        </w:rPr>
        <w:t xml:space="preserve"> This is to say that even if there is a strong market demand for tropical timber, it may not necessarily lead to an increase in </w:t>
      </w:r>
      <w:r w:rsidR="000931BA">
        <w:rPr>
          <w:lang w:val="en-US"/>
        </w:rPr>
        <w:t xml:space="preserve">harvesting in </w:t>
      </w:r>
      <w:r w:rsidR="0092766F">
        <w:rPr>
          <w:lang w:val="en-US"/>
        </w:rPr>
        <w:t xml:space="preserve">the </w:t>
      </w:r>
      <w:r w:rsidR="000931BA">
        <w:rPr>
          <w:lang w:val="en-US"/>
        </w:rPr>
        <w:t>DRC, as many other central African countries show a more favorable investment climate</w:t>
      </w:r>
      <w:r w:rsidR="002A573F">
        <w:rPr>
          <w:lang w:val="en-US"/>
        </w:rPr>
        <w:t xml:space="preserve"> and would likely profit first from an increase in timber demand.</w:t>
      </w:r>
    </w:p>
    <w:p w:rsidR="008D7017" w:rsidRDefault="002A573F" w:rsidP="00814B9A">
      <w:pPr>
        <w:jc w:val="both"/>
        <w:rPr>
          <w:lang w:val="en-US"/>
        </w:rPr>
      </w:pPr>
      <w:r>
        <w:rPr>
          <w:lang w:val="en-US"/>
        </w:rPr>
        <w:t>As such,</w:t>
      </w:r>
      <w:r w:rsidR="005F60C0">
        <w:rPr>
          <w:lang w:val="en-US"/>
        </w:rPr>
        <w:t xml:space="preserve"> accurately predicting the timber demand for the purpose of estimating baseline emissions </w:t>
      </w:r>
      <w:r>
        <w:rPr>
          <w:lang w:val="en-US"/>
        </w:rPr>
        <w:t>d</w:t>
      </w:r>
      <w:r w:rsidR="005F60C0">
        <w:rPr>
          <w:lang w:val="en-US"/>
        </w:rPr>
        <w:t xml:space="preserve">uring the ER-Program period </w:t>
      </w:r>
      <w:r w:rsidR="00A139BF">
        <w:rPr>
          <w:lang w:val="en-US"/>
        </w:rPr>
        <w:t>was and still is</w:t>
      </w:r>
      <w:r w:rsidR="005F60C0">
        <w:rPr>
          <w:lang w:val="en-US"/>
        </w:rPr>
        <w:t xml:space="preserve"> deemed </w:t>
      </w:r>
      <w:r w:rsidR="004C2D3B">
        <w:rPr>
          <w:lang w:val="en-US"/>
        </w:rPr>
        <w:t>very difficult</w:t>
      </w:r>
      <w:r w:rsidR="005F60C0">
        <w:rPr>
          <w:lang w:val="en-US"/>
        </w:rPr>
        <w:t>. This strongly calls into question the concept of</w:t>
      </w:r>
      <w:r>
        <w:rPr>
          <w:lang w:val="en-US"/>
        </w:rPr>
        <w:t xml:space="preserve"> concession-specific baselines, at least when it comes to </w:t>
      </w:r>
      <w:r w:rsidR="00304F7D">
        <w:rPr>
          <w:lang w:val="en-US"/>
        </w:rPr>
        <w:t>reduced impact logging activities.</w:t>
      </w:r>
    </w:p>
    <w:p w:rsidR="005F60C0" w:rsidRDefault="005F60C0" w:rsidP="00814B9A">
      <w:pPr>
        <w:jc w:val="both"/>
        <w:rPr>
          <w:lang w:val="en-US"/>
        </w:rPr>
      </w:pPr>
      <w:r>
        <w:rPr>
          <w:lang w:val="en-US"/>
        </w:rPr>
        <w:t xml:space="preserve">Following the report by </w:t>
      </w:r>
      <w:proofErr w:type="spellStart"/>
      <w:r>
        <w:rPr>
          <w:lang w:val="en-US"/>
        </w:rPr>
        <w:t>FRMi</w:t>
      </w:r>
      <w:proofErr w:type="spellEnd"/>
      <w:r>
        <w:rPr>
          <w:lang w:val="en-US"/>
        </w:rPr>
        <w:t xml:space="preserve"> (2015), WWF, GFA and SODEFOR have started to develop an alternative concept for integrating forestry concessions into the ER-Program. This concept is in part inspired by other work</w:t>
      </w:r>
      <w:r w:rsidR="00293C38">
        <w:rPr>
          <w:lang w:val="en-US"/>
        </w:rPr>
        <w:t xml:space="preserve"> on regional forestry con</w:t>
      </w:r>
      <w:r w:rsidR="00AA2683">
        <w:rPr>
          <w:lang w:val="en-US"/>
        </w:rPr>
        <w:t>cession baselines in Indonesia</w:t>
      </w:r>
      <w:r w:rsidR="008A3560">
        <w:rPr>
          <w:rStyle w:val="FootnoteReference"/>
          <w:lang w:val="en-US"/>
        </w:rPr>
        <w:footnoteReference w:id="3"/>
      </w:r>
      <w:r w:rsidR="003752E6">
        <w:rPr>
          <w:rStyle w:val="FootnoteReference"/>
          <w:lang w:val="en-US"/>
        </w:rPr>
        <w:footnoteReference w:id="4"/>
      </w:r>
      <w:r w:rsidR="00AA2683">
        <w:rPr>
          <w:lang w:val="en-US"/>
        </w:rPr>
        <w:t>.</w:t>
      </w:r>
    </w:p>
    <w:p w:rsidR="00293C38" w:rsidRDefault="00AA2683" w:rsidP="00814B9A">
      <w:pPr>
        <w:jc w:val="both"/>
        <w:rPr>
          <w:lang w:val="en-US"/>
        </w:rPr>
      </w:pPr>
      <w:r>
        <w:rPr>
          <w:lang w:val="en-US"/>
        </w:rPr>
        <w:t xml:space="preserve">From August </w:t>
      </w:r>
      <w:r w:rsidR="00293C38">
        <w:rPr>
          <w:lang w:val="en-US"/>
        </w:rPr>
        <w:t>2016</w:t>
      </w:r>
      <w:r>
        <w:rPr>
          <w:lang w:val="en-US"/>
        </w:rPr>
        <w:t xml:space="preserve"> to March 2017</w:t>
      </w:r>
      <w:r w:rsidR="00293C38">
        <w:rPr>
          <w:lang w:val="en-US"/>
        </w:rPr>
        <w:t xml:space="preserve">, WWF and SODEFOR, supported by GFA </w:t>
      </w:r>
      <w:r w:rsidR="00304F7D">
        <w:rPr>
          <w:lang w:val="en-US"/>
        </w:rPr>
        <w:t xml:space="preserve">and </w:t>
      </w:r>
      <w:proofErr w:type="spellStart"/>
      <w:r w:rsidR="00304F7D">
        <w:rPr>
          <w:lang w:val="en-US"/>
        </w:rPr>
        <w:t>FRMi</w:t>
      </w:r>
      <w:proofErr w:type="spellEnd"/>
      <w:r w:rsidR="00BD4858">
        <w:rPr>
          <w:lang w:val="en-US"/>
        </w:rPr>
        <w:t xml:space="preserve"> </w:t>
      </w:r>
      <w:r w:rsidR="00293C38">
        <w:rPr>
          <w:lang w:val="en-US"/>
        </w:rPr>
        <w:t xml:space="preserve">implemented a reduced impact logging pilot in Mai-Ndombe province. The pilot took place in SODEFOR concession CCF 35/11 </w:t>
      </w:r>
      <w:r w:rsidR="00293C38" w:rsidRPr="008A5691">
        <w:rPr>
          <w:lang w:val="en-US"/>
        </w:rPr>
        <w:t>(</w:t>
      </w:r>
      <w:proofErr w:type="spellStart"/>
      <w:r w:rsidR="00293C38" w:rsidRPr="008A5691">
        <w:rPr>
          <w:lang w:val="en-US"/>
        </w:rPr>
        <w:t>Madjoko</w:t>
      </w:r>
      <w:proofErr w:type="spellEnd"/>
      <w:r w:rsidR="00293C38" w:rsidRPr="008A5691">
        <w:rPr>
          <w:lang w:val="en-US"/>
        </w:rPr>
        <w:t>) and included a control zone (</w:t>
      </w:r>
      <w:r w:rsidR="008A5691" w:rsidRPr="008A5691">
        <w:rPr>
          <w:lang w:val="en-US"/>
        </w:rPr>
        <w:t>765</w:t>
      </w:r>
      <w:r w:rsidR="00293C38" w:rsidRPr="008A5691">
        <w:rPr>
          <w:lang w:val="en-US"/>
        </w:rPr>
        <w:t xml:space="preserve"> ha) and Reduced impact logging zone (</w:t>
      </w:r>
      <w:r w:rsidR="008A5691" w:rsidRPr="008A5691">
        <w:rPr>
          <w:lang w:val="en-US"/>
        </w:rPr>
        <w:t>502</w:t>
      </w:r>
      <w:r w:rsidR="00293C38" w:rsidRPr="008A5691">
        <w:rPr>
          <w:lang w:val="en-US"/>
        </w:rPr>
        <w:t xml:space="preserve"> ha). The</w:t>
      </w:r>
      <w:r w:rsidR="00293C38">
        <w:rPr>
          <w:lang w:val="en-US"/>
        </w:rPr>
        <w:t xml:space="preserve"> principal aim was to test which RIL activities are the most feasible and to estimate both the costs and emission reduction of </w:t>
      </w:r>
      <w:r>
        <w:rPr>
          <w:lang w:val="en-US"/>
        </w:rPr>
        <w:t xml:space="preserve">their implementation. The results from this pilot allowed </w:t>
      </w:r>
      <w:r w:rsidR="00304F7D">
        <w:rPr>
          <w:lang w:val="en-US"/>
        </w:rPr>
        <w:t>the project partners</w:t>
      </w:r>
      <w:r>
        <w:rPr>
          <w:lang w:val="en-US"/>
        </w:rPr>
        <w:t xml:space="preserve"> to </w:t>
      </w:r>
      <w:r w:rsidR="003F712D">
        <w:rPr>
          <w:lang w:val="en-US"/>
        </w:rPr>
        <w:t>fine-tune</w:t>
      </w:r>
      <w:r>
        <w:rPr>
          <w:lang w:val="en-US"/>
        </w:rPr>
        <w:t xml:space="preserve"> this concept</w:t>
      </w:r>
      <w:r w:rsidR="00BF701E">
        <w:rPr>
          <w:lang w:val="en-US"/>
        </w:rPr>
        <w:t xml:space="preserve"> of proxy result based scheme</w:t>
      </w:r>
      <w:r>
        <w:rPr>
          <w:lang w:val="en-US"/>
        </w:rPr>
        <w:t>.</w:t>
      </w:r>
    </w:p>
    <w:p w:rsidR="005F60C0" w:rsidRPr="005C73A4" w:rsidRDefault="00AA2683" w:rsidP="00814B9A">
      <w:pPr>
        <w:jc w:val="both"/>
        <w:rPr>
          <w:b/>
          <w:sz w:val="24"/>
          <w:szCs w:val="24"/>
          <w:lang w:val="en-US"/>
        </w:rPr>
      </w:pPr>
      <w:r w:rsidRPr="005C73A4">
        <w:rPr>
          <w:b/>
          <w:sz w:val="24"/>
          <w:szCs w:val="24"/>
          <w:lang w:val="en-US"/>
        </w:rPr>
        <w:t xml:space="preserve">The </w:t>
      </w:r>
      <w:r w:rsidR="00B30865" w:rsidRPr="005C73A4">
        <w:rPr>
          <w:b/>
          <w:sz w:val="24"/>
          <w:szCs w:val="24"/>
          <w:lang w:val="en-US"/>
        </w:rPr>
        <w:t>“</w:t>
      </w:r>
      <w:r w:rsidR="00861FF2">
        <w:rPr>
          <w:b/>
          <w:sz w:val="24"/>
          <w:szCs w:val="24"/>
          <w:lang w:val="en-US"/>
        </w:rPr>
        <w:t xml:space="preserve">sectoral RIL </w:t>
      </w:r>
      <w:r w:rsidRPr="005C73A4">
        <w:rPr>
          <w:b/>
          <w:sz w:val="24"/>
          <w:szCs w:val="24"/>
          <w:lang w:val="en-US"/>
        </w:rPr>
        <w:t>benchmark approach</w:t>
      </w:r>
      <w:r w:rsidR="00861FF2">
        <w:rPr>
          <w:b/>
          <w:sz w:val="24"/>
          <w:szCs w:val="24"/>
          <w:lang w:val="en-US"/>
        </w:rPr>
        <w:t>"</w:t>
      </w:r>
    </w:p>
    <w:p w:rsidR="005F60C0" w:rsidRDefault="008B126F" w:rsidP="00814B9A">
      <w:pPr>
        <w:jc w:val="both"/>
        <w:rPr>
          <w:lang w:val="en-US"/>
        </w:rPr>
      </w:pPr>
      <w:r>
        <w:rPr>
          <w:lang w:val="en-US"/>
        </w:rPr>
        <w:t xml:space="preserve">The </w:t>
      </w:r>
      <w:r w:rsidR="00B30865">
        <w:rPr>
          <w:lang w:val="en-US"/>
        </w:rPr>
        <w:t>sectoral</w:t>
      </w:r>
      <w:r w:rsidR="00BD4858">
        <w:rPr>
          <w:lang w:val="en-US"/>
        </w:rPr>
        <w:t xml:space="preserve"> </w:t>
      </w:r>
      <w:r w:rsidR="00861FF2">
        <w:rPr>
          <w:lang w:val="en-US"/>
        </w:rPr>
        <w:t xml:space="preserve">RIL </w:t>
      </w:r>
      <w:r w:rsidR="00046E09">
        <w:rPr>
          <w:lang w:val="en-US"/>
        </w:rPr>
        <w:t xml:space="preserve">benchmark approach starts </w:t>
      </w:r>
      <w:r>
        <w:rPr>
          <w:lang w:val="en-US"/>
        </w:rPr>
        <w:t xml:space="preserve">from the hypothesis that it is </w:t>
      </w:r>
      <w:r w:rsidR="00861FF2">
        <w:rPr>
          <w:lang w:val="en-US"/>
        </w:rPr>
        <w:t>very difficult</w:t>
      </w:r>
      <w:r>
        <w:rPr>
          <w:lang w:val="en-US"/>
        </w:rPr>
        <w:t xml:space="preserve"> to accurately estimate the total baseline emissions from forestry concessions (see above). </w:t>
      </w:r>
      <w:r w:rsidR="00861FF2">
        <w:rPr>
          <w:lang w:val="en-US"/>
        </w:rPr>
        <w:t>With the excep</w:t>
      </w:r>
      <w:r w:rsidR="002B6A98">
        <w:rPr>
          <w:lang w:val="en-US"/>
        </w:rPr>
        <w:t>tion of conservation concession cases</w:t>
      </w:r>
      <w:r w:rsidR="00861FF2">
        <w:rPr>
          <w:lang w:val="en-US"/>
        </w:rPr>
        <w:t xml:space="preserve">, </w:t>
      </w:r>
      <w:r w:rsidR="000F1ED6">
        <w:rPr>
          <w:lang w:val="en-US"/>
        </w:rPr>
        <w:t xml:space="preserve">it is assumed </w:t>
      </w:r>
      <w:r w:rsidR="002B6A98">
        <w:rPr>
          <w:lang w:val="en-US"/>
        </w:rPr>
        <w:t xml:space="preserve">for all forestry concessions </w:t>
      </w:r>
      <w:r w:rsidR="000F1ED6">
        <w:rPr>
          <w:lang w:val="en-US"/>
        </w:rPr>
        <w:t xml:space="preserve">that </w:t>
      </w:r>
      <w:r w:rsidR="00046E09">
        <w:rPr>
          <w:lang w:val="en-US"/>
        </w:rPr>
        <w:t>there is no difference in the amount of timber / area harvested during the ER-Program period compared to the reference period. This makes the need to estimate the harvested volume and/or area redundant.</w:t>
      </w:r>
    </w:p>
    <w:p w:rsidR="00C61798" w:rsidRDefault="00046E09" w:rsidP="00814B9A">
      <w:pPr>
        <w:jc w:val="both"/>
        <w:rPr>
          <w:lang w:val="en-US"/>
        </w:rPr>
      </w:pPr>
      <w:r>
        <w:rPr>
          <w:lang w:val="en-US"/>
        </w:rPr>
        <w:lastRenderedPageBreak/>
        <w:t xml:space="preserve">However, forestry concessions can influence the CO2 emissions per unit area or volume harvested. Based on our research, the parameters that </w:t>
      </w:r>
      <w:r w:rsidR="002B6A98">
        <w:rPr>
          <w:lang w:val="en-US"/>
        </w:rPr>
        <w:t xml:space="preserve">a) </w:t>
      </w:r>
      <w:r>
        <w:rPr>
          <w:lang w:val="en-US"/>
        </w:rPr>
        <w:t xml:space="preserve">cause </w:t>
      </w:r>
      <w:r w:rsidR="00B30865">
        <w:rPr>
          <w:lang w:val="en-US"/>
        </w:rPr>
        <w:t xml:space="preserve">most of the </w:t>
      </w:r>
      <w:r>
        <w:rPr>
          <w:lang w:val="en-US"/>
        </w:rPr>
        <w:t xml:space="preserve">emissions and </w:t>
      </w:r>
      <w:r w:rsidR="002B6A98">
        <w:rPr>
          <w:lang w:val="en-US"/>
        </w:rPr>
        <w:t xml:space="preserve">b) </w:t>
      </w:r>
      <w:r>
        <w:rPr>
          <w:lang w:val="en-US"/>
        </w:rPr>
        <w:t>can be influenced to reduce emissions are:</w:t>
      </w:r>
    </w:p>
    <w:p w:rsidR="00C61798" w:rsidRDefault="00046E09" w:rsidP="00046E09">
      <w:pPr>
        <w:pStyle w:val="ListParagraph"/>
        <w:numPr>
          <w:ilvl w:val="0"/>
          <w:numId w:val="2"/>
        </w:numPr>
        <w:jc w:val="both"/>
        <w:rPr>
          <w:lang w:val="en-US"/>
        </w:rPr>
      </w:pPr>
      <w:r>
        <w:rPr>
          <w:lang w:val="en-US"/>
        </w:rPr>
        <w:t xml:space="preserve">The density of </w:t>
      </w:r>
      <w:r w:rsidR="002B6A98">
        <w:rPr>
          <w:lang w:val="en-US"/>
        </w:rPr>
        <w:t xml:space="preserve">both </w:t>
      </w:r>
      <w:r>
        <w:rPr>
          <w:lang w:val="en-US"/>
        </w:rPr>
        <w:t xml:space="preserve">principal </w:t>
      </w:r>
      <w:r w:rsidR="002B6A98">
        <w:rPr>
          <w:lang w:val="en-US"/>
        </w:rPr>
        <w:t xml:space="preserve">and secondary </w:t>
      </w:r>
      <w:r>
        <w:rPr>
          <w:lang w:val="en-US"/>
        </w:rPr>
        <w:t>roads</w:t>
      </w:r>
      <w:r w:rsidR="000446E7">
        <w:rPr>
          <w:lang w:val="en-US"/>
        </w:rPr>
        <w:t xml:space="preserve"> [</w:t>
      </w:r>
      <w:r w:rsidR="00B30865" w:rsidRPr="008422C3">
        <w:rPr>
          <w:lang w:val="en-US"/>
        </w:rPr>
        <w:t>m</w:t>
      </w:r>
      <w:r w:rsidR="00B30865">
        <w:rPr>
          <w:lang w:val="en-US"/>
        </w:rPr>
        <w:t>/ha]</w:t>
      </w:r>
    </w:p>
    <w:p w:rsidR="00046E09" w:rsidRDefault="00046E09" w:rsidP="00046E09">
      <w:pPr>
        <w:pStyle w:val="ListParagraph"/>
        <w:numPr>
          <w:ilvl w:val="0"/>
          <w:numId w:val="2"/>
        </w:numPr>
        <w:jc w:val="both"/>
        <w:rPr>
          <w:lang w:val="en-US"/>
        </w:rPr>
      </w:pPr>
      <w:r>
        <w:rPr>
          <w:lang w:val="en-US"/>
        </w:rPr>
        <w:t>The width of both principal and secondary roads(the actual road strip)</w:t>
      </w:r>
      <w:r w:rsidR="00B30865">
        <w:rPr>
          <w:lang w:val="en-US"/>
        </w:rPr>
        <w:t xml:space="preserve"> [m]</w:t>
      </w:r>
    </w:p>
    <w:p w:rsidR="00046E09" w:rsidRDefault="00B30865" w:rsidP="00046E09">
      <w:pPr>
        <w:pStyle w:val="ListParagraph"/>
        <w:numPr>
          <w:ilvl w:val="0"/>
          <w:numId w:val="2"/>
        </w:numPr>
        <w:jc w:val="both"/>
        <w:rPr>
          <w:lang w:val="en-US"/>
        </w:rPr>
      </w:pPr>
      <w:r>
        <w:rPr>
          <w:lang w:val="en-US"/>
        </w:rPr>
        <w:t>The width of solar strips [m]</w:t>
      </w:r>
      <w:r w:rsidR="009A2314">
        <w:rPr>
          <w:lang w:val="en-US"/>
        </w:rPr>
        <w:t xml:space="preserve"> along </w:t>
      </w:r>
      <w:r w:rsidR="000446E7">
        <w:rPr>
          <w:lang w:val="en-US"/>
        </w:rPr>
        <w:t xml:space="preserve">principal and secondary </w:t>
      </w:r>
      <w:r w:rsidR="009A2314">
        <w:rPr>
          <w:lang w:val="en-US"/>
        </w:rPr>
        <w:t>roads</w:t>
      </w:r>
    </w:p>
    <w:p w:rsidR="00B30865" w:rsidRDefault="00B30865" w:rsidP="00046E09">
      <w:pPr>
        <w:pStyle w:val="ListParagraph"/>
        <w:numPr>
          <w:ilvl w:val="0"/>
          <w:numId w:val="2"/>
        </w:numPr>
        <w:jc w:val="both"/>
        <w:rPr>
          <w:lang w:val="en-US"/>
        </w:rPr>
      </w:pPr>
      <w:r>
        <w:rPr>
          <w:lang w:val="en-US"/>
        </w:rPr>
        <w:t xml:space="preserve">The density of </w:t>
      </w:r>
      <w:r w:rsidR="006A42A0">
        <w:rPr>
          <w:lang w:val="en-US"/>
        </w:rPr>
        <w:t>skid trails</w:t>
      </w:r>
      <w:r w:rsidR="005F585C">
        <w:rPr>
          <w:lang w:val="en-US"/>
        </w:rPr>
        <w:t xml:space="preserve"> [</w:t>
      </w:r>
      <w:r w:rsidR="005F585C" w:rsidRPr="008422C3">
        <w:rPr>
          <w:lang w:val="en-US"/>
        </w:rPr>
        <w:t>m</w:t>
      </w:r>
      <w:r w:rsidR="005F585C">
        <w:rPr>
          <w:lang w:val="en-US"/>
        </w:rPr>
        <w:t>/ha]</w:t>
      </w:r>
    </w:p>
    <w:p w:rsidR="006A42A0" w:rsidRDefault="006A42A0" w:rsidP="00046E09">
      <w:pPr>
        <w:pStyle w:val="ListParagraph"/>
        <w:numPr>
          <w:ilvl w:val="0"/>
          <w:numId w:val="2"/>
        </w:numPr>
        <w:jc w:val="both"/>
        <w:rPr>
          <w:lang w:val="en-US"/>
        </w:rPr>
      </w:pPr>
      <w:r>
        <w:rPr>
          <w:lang w:val="en-US"/>
        </w:rPr>
        <w:t>The width of skid trails [m]</w:t>
      </w:r>
    </w:p>
    <w:p w:rsidR="00B30865" w:rsidRPr="00046E09" w:rsidRDefault="00B30865" w:rsidP="00046E09">
      <w:pPr>
        <w:pStyle w:val="ListParagraph"/>
        <w:numPr>
          <w:ilvl w:val="0"/>
          <w:numId w:val="2"/>
        </w:numPr>
        <w:jc w:val="both"/>
        <w:rPr>
          <w:lang w:val="en-US"/>
        </w:rPr>
      </w:pPr>
      <w:r>
        <w:rPr>
          <w:lang w:val="en-US"/>
        </w:rPr>
        <w:t xml:space="preserve">The area of log landings </w:t>
      </w:r>
      <w:r w:rsidR="004C2D3B">
        <w:rPr>
          <w:lang w:val="en-US"/>
        </w:rPr>
        <w:t xml:space="preserve">per unit of harvested area </w:t>
      </w:r>
      <w:r>
        <w:rPr>
          <w:lang w:val="en-US"/>
        </w:rPr>
        <w:t>[m²</w:t>
      </w:r>
      <w:r w:rsidR="004C2D3B">
        <w:rPr>
          <w:lang w:val="en-US"/>
        </w:rPr>
        <w:t>/ha</w:t>
      </w:r>
      <w:r>
        <w:rPr>
          <w:lang w:val="en-US"/>
        </w:rPr>
        <w:t>]</w:t>
      </w:r>
    </w:p>
    <w:p w:rsidR="003771EE" w:rsidRDefault="002A6A27" w:rsidP="00814B9A">
      <w:pPr>
        <w:jc w:val="both"/>
        <w:rPr>
          <w:lang w:val="en-US"/>
        </w:rPr>
      </w:pPr>
      <w:r>
        <w:rPr>
          <w:lang w:val="en-US"/>
        </w:rPr>
        <w:t xml:space="preserve">One </w:t>
      </w:r>
      <w:r w:rsidR="003D607B">
        <w:rPr>
          <w:lang w:val="en-US"/>
        </w:rPr>
        <w:t xml:space="preserve">important "emission" parameter </w:t>
      </w:r>
      <w:r>
        <w:rPr>
          <w:lang w:val="en-US"/>
        </w:rPr>
        <w:t xml:space="preserve">not included here </w:t>
      </w:r>
      <w:r w:rsidR="003D607B">
        <w:rPr>
          <w:lang w:val="en-US"/>
        </w:rPr>
        <w:t>is the residual stand damage</w:t>
      </w:r>
      <w:r>
        <w:rPr>
          <w:lang w:val="en-US"/>
        </w:rPr>
        <w:t xml:space="preserve"> factor (biomass loss in the remaining forest stand that is caused by tree felling)</w:t>
      </w:r>
      <w:r w:rsidR="003D607B">
        <w:rPr>
          <w:lang w:val="en-US"/>
        </w:rPr>
        <w:t xml:space="preserve">. </w:t>
      </w:r>
      <w:r w:rsidR="0042586D">
        <w:rPr>
          <w:lang w:val="en-US"/>
        </w:rPr>
        <w:t xml:space="preserve">However, residual stand damage is difficult to measure and reduce. Improvements in felling techniques usually target </w:t>
      </w:r>
      <w:proofErr w:type="spellStart"/>
      <w:r w:rsidR="0042586D">
        <w:rPr>
          <w:lang w:val="en-US"/>
        </w:rPr>
        <w:t>work</w:t>
      </w:r>
      <w:r w:rsidR="0015368D">
        <w:rPr>
          <w:lang w:val="en-US"/>
        </w:rPr>
        <w:t>ersafety</w:t>
      </w:r>
      <w:proofErr w:type="spellEnd"/>
      <w:r w:rsidR="0015368D">
        <w:rPr>
          <w:lang w:val="en-US"/>
        </w:rPr>
        <w:t xml:space="preserve"> and maintaining the </w:t>
      </w:r>
      <w:r>
        <w:rPr>
          <w:lang w:val="en-US"/>
        </w:rPr>
        <w:t xml:space="preserve">merchantable </w:t>
      </w:r>
      <w:r w:rsidR="0015368D">
        <w:rPr>
          <w:lang w:val="en-US"/>
        </w:rPr>
        <w:t>quality of the tree to be felled. In particular in the tropics, where visibility in the stand can be low and tree diameters are big, the reduction of residual stand damage is a secondary objective th</w:t>
      </w:r>
      <w:r w:rsidR="00F64464">
        <w:rPr>
          <w:lang w:val="en-US"/>
        </w:rPr>
        <w:t xml:space="preserve">at is very difficult to realize even under optimum felling conditions. Since the harvested volume is assumed to be the same for the baseline and project scenario, the same is assumed for residual stand damage. </w:t>
      </w:r>
      <w:r>
        <w:rPr>
          <w:lang w:val="en-US"/>
        </w:rPr>
        <w:t xml:space="preserve">Further, </w:t>
      </w:r>
      <w:r w:rsidR="0085477C">
        <w:rPr>
          <w:lang w:val="en-US"/>
        </w:rPr>
        <w:t>residual stand damage is not linked to any of the above parameters</w:t>
      </w:r>
      <w:r w:rsidR="002B6A98">
        <w:rPr>
          <w:lang w:val="en-US"/>
        </w:rPr>
        <w:t xml:space="preserve"> (i.e. it does not increase or decrease in relation e.g. road density)</w:t>
      </w:r>
      <w:r w:rsidR="0085477C">
        <w:rPr>
          <w:lang w:val="en-US"/>
        </w:rPr>
        <w:t xml:space="preserve"> and </w:t>
      </w:r>
      <w:r>
        <w:rPr>
          <w:lang w:val="en-US"/>
        </w:rPr>
        <w:t>forestry companies would ha</w:t>
      </w:r>
      <w:r w:rsidR="0085477C">
        <w:rPr>
          <w:lang w:val="en-US"/>
        </w:rPr>
        <w:t>ve no interest in increasing the residual stand damage</w:t>
      </w:r>
      <w:r w:rsidR="007145CE">
        <w:rPr>
          <w:lang w:val="en-US"/>
        </w:rPr>
        <w:t>. They are rather indifferent to it, except when it comes to avoiding damage to other merchantable trees.</w:t>
      </w:r>
      <w:r w:rsidR="004C2D3B">
        <w:rPr>
          <w:lang w:val="en-US"/>
        </w:rPr>
        <w:t xml:space="preserve"> As such it is unlikely that residual stand damage would increase</w:t>
      </w:r>
      <w:r w:rsidR="003771EE">
        <w:rPr>
          <w:lang w:val="en-US"/>
        </w:rPr>
        <w:t xml:space="preserve"> during RIL implementation.</w:t>
      </w:r>
    </w:p>
    <w:p w:rsidR="00B30865" w:rsidRDefault="00B30865" w:rsidP="00814B9A">
      <w:pPr>
        <w:jc w:val="both"/>
        <w:rPr>
          <w:lang w:val="en-US"/>
        </w:rPr>
      </w:pPr>
      <w:r>
        <w:rPr>
          <w:lang w:val="en-US"/>
        </w:rPr>
        <w:t xml:space="preserve">For </w:t>
      </w:r>
      <w:r w:rsidR="007145CE">
        <w:rPr>
          <w:lang w:val="en-US"/>
        </w:rPr>
        <w:t>the above</w:t>
      </w:r>
      <w:r w:rsidR="007211E9">
        <w:rPr>
          <w:lang w:val="en-US"/>
        </w:rPr>
        <w:t xml:space="preserve"> </w:t>
      </w:r>
      <w:r>
        <w:rPr>
          <w:lang w:val="en-US"/>
        </w:rPr>
        <w:t>parameters, baseline data from several concessions is available to e</w:t>
      </w:r>
      <w:r w:rsidR="003771EE">
        <w:rPr>
          <w:lang w:val="en-US"/>
        </w:rPr>
        <w:t xml:space="preserve">stablish what we term </w:t>
      </w:r>
      <w:r w:rsidR="005A2D54">
        <w:rPr>
          <w:lang w:val="en-US"/>
        </w:rPr>
        <w:t>"</w:t>
      </w:r>
      <w:r w:rsidR="003771EE">
        <w:rPr>
          <w:lang w:val="en-US"/>
        </w:rPr>
        <w:t>sectoral</w:t>
      </w:r>
      <w:r w:rsidR="00BD4858">
        <w:rPr>
          <w:lang w:val="en-US"/>
        </w:rPr>
        <w:t xml:space="preserve"> </w:t>
      </w:r>
      <w:r w:rsidR="003771EE">
        <w:rPr>
          <w:lang w:val="en-US"/>
        </w:rPr>
        <w:t xml:space="preserve">RIL </w:t>
      </w:r>
      <w:r>
        <w:rPr>
          <w:lang w:val="en-US"/>
        </w:rPr>
        <w:t>benchmarks values</w:t>
      </w:r>
      <w:r w:rsidR="005A2D54">
        <w:rPr>
          <w:lang w:val="en-US"/>
        </w:rPr>
        <w:t>".</w:t>
      </w:r>
    </w:p>
    <w:p w:rsidR="00B30865" w:rsidRDefault="00B30865" w:rsidP="00814B9A">
      <w:pPr>
        <w:jc w:val="both"/>
        <w:rPr>
          <w:lang w:val="en-US"/>
        </w:rPr>
      </w:pPr>
      <w:r>
        <w:rPr>
          <w:lang w:val="en-US"/>
        </w:rPr>
        <w:t>The principal idea is that the ER-Program sets these sectoral</w:t>
      </w:r>
      <w:r w:rsidR="00BD4858">
        <w:rPr>
          <w:lang w:val="en-US"/>
        </w:rPr>
        <w:t xml:space="preserve"> </w:t>
      </w:r>
      <w:r w:rsidR="003771EE">
        <w:rPr>
          <w:lang w:val="en-US"/>
        </w:rPr>
        <w:t xml:space="preserve">RIL </w:t>
      </w:r>
      <w:r>
        <w:rPr>
          <w:lang w:val="en-US"/>
        </w:rPr>
        <w:t xml:space="preserve">benchmark values for the duration of the ERPA. If a </w:t>
      </w:r>
      <w:r w:rsidR="00F955B6">
        <w:rPr>
          <w:lang w:val="en-US"/>
        </w:rPr>
        <w:t>forestry concession company</w:t>
      </w:r>
      <w:r>
        <w:rPr>
          <w:lang w:val="en-US"/>
        </w:rPr>
        <w:t xml:space="preserve"> manages to reduce </w:t>
      </w:r>
      <w:r w:rsidR="00147857">
        <w:rPr>
          <w:lang w:val="en-US"/>
        </w:rPr>
        <w:t>its logging-related emissions by staying below these set</w:t>
      </w:r>
      <w:r w:rsidR="007211E9">
        <w:rPr>
          <w:lang w:val="en-US"/>
        </w:rPr>
        <w:t xml:space="preserve"> </w:t>
      </w:r>
      <w:r w:rsidR="00F955B6">
        <w:rPr>
          <w:lang w:val="en-US"/>
        </w:rPr>
        <w:t xml:space="preserve">of </w:t>
      </w:r>
      <w:r w:rsidR="00147857">
        <w:rPr>
          <w:lang w:val="en-US"/>
        </w:rPr>
        <w:t xml:space="preserve">benchmark values, then </w:t>
      </w:r>
      <w:r w:rsidR="00F955B6">
        <w:rPr>
          <w:lang w:val="en-US"/>
        </w:rPr>
        <w:t>it would be rewarded accordingly.</w:t>
      </w:r>
    </w:p>
    <w:p w:rsidR="005A2D54" w:rsidRDefault="005A2D54" w:rsidP="00814B9A">
      <w:pPr>
        <w:jc w:val="both"/>
        <w:rPr>
          <w:lang w:val="en-US"/>
        </w:rPr>
      </w:pPr>
      <w:r>
        <w:rPr>
          <w:lang w:val="en-US"/>
        </w:rPr>
        <w:t xml:space="preserve">Benchmarking is a widely used regulatory instrument to increase the performance, ranging from specific electrical appliances to entire industrial sectors. </w:t>
      </w:r>
      <w:r w:rsidR="00DC688B">
        <w:rPr>
          <w:lang w:val="en-US"/>
        </w:rPr>
        <w:t>In fact, the EU Emission Trading Scheme, covering the majority of emissions from the EU industrial and energy sector, also works with (facility-specific) emission benchmarks.</w:t>
      </w:r>
    </w:p>
    <w:p w:rsidR="00147857" w:rsidRDefault="00147857" w:rsidP="00814B9A">
      <w:pPr>
        <w:jc w:val="both"/>
        <w:rPr>
          <w:lang w:val="en-US"/>
        </w:rPr>
      </w:pPr>
      <w:r>
        <w:rPr>
          <w:lang w:val="en-US"/>
        </w:rPr>
        <w:t xml:space="preserve">Based on the research related to these parameters, including the preliminary results from the RIL study, the emission reduction effect reducing any of the above parameters can be quantified. This allows </w:t>
      </w:r>
      <w:r w:rsidR="004C2D3B">
        <w:rPr>
          <w:lang w:val="en-US"/>
        </w:rPr>
        <w:t>the ER-Program</w:t>
      </w:r>
      <w:r>
        <w:rPr>
          <w:lang w:val="en-US"/>
        </w:rPr>
        <w:t xml:space="preserve"> to </w:t>
      </w:r>
      <w:r w:rsidR="003771EE">
        <w:rPr>
          <w:lang w:val="en-US"/>
        </w:rPr>
        <w:t>link</w:t>
      </w:r>
      <w:r>
        <w:rPr>
          <w:lang w:val="en-US"/>
        </w:rPr>
        <w:t xml:space="preserve"> reductions related to the above parameters to CO2 emission reductions</w:t>
      </w:r>
      <w:r w:rsidR="001552FD">
        <w:rPr>
          <w:lang w:val="en-US"/>
        </w:rPr>
        <w:t xml:space="preserve"> and consequently </w:t>
      </w:r>
      <w:r w:rsidR="003771EE">
        <w:rPr>
          <w:lang w:val="en-US"/>
        </w:rPr>
        <w:t>quantify the monetary benefits to be paid to performing forestry concessionaires.</w:t>
      </w:r>
    </w:p>
    <w:p w:rsidR="00B30865" w:rsidRPr="005C73A4" w:rsidRDefault="001552FD" w:rsidP="00814B9A">
      <w:pPr>
        <w:jc w:val="both"/>
        <w:rPr>
          <w:b/>
          <w:sz w:val="24"/>
          <w:szCs w:val="24"/>
          <w:lang w:val="en-US"/>
        </w:rPr>
      </w:pPr>
      <w:r w:rsidRPr="005C73A4">
        <w:rPr>
          <w:b/>
          <w:sz w:val="24"/>
          <w:szCs w:val="24"/>
          <w:lang w:val="en-US"/>
        </w:rPr>
        <w:t>Setting of the sectoral</w:t>
      </w:r>
      <w:r w:rsidR="00BD4858">
        <w:rPr>
          <w:b/>
          <w:sz w:val="24"/>
          <w:szCs w:val="24"/>
          <w:lang w:val="en-US"/>
        </w:rPr>
        <w:t xml:space="preserve"> </w:t>
      </w:r>
      <w:r w:rsidR="003771EE">
        <w:rPr>
          <w:b/>
          <w:sz w:val="24"/>
          <w:szCs w:val="24"/>
          <w:lang w:val="en-US"/>
        </w:rPr>
        <w:t xml:space="preserve">RIL </w:t>
      </w:r>
      <w:r w:rsidRPr="005C73A4">
        <w:rPr>
          <w:b/>
          <w:sz w:val="24"/>
          <w:szCs w:val="24"/>
          <w:lang w:val="en-US"/>
        </w:rPr>
        <w:t>benchmark values</w:t>
      </w:r>
    </w:p>
    <w:p w:rsidR="00B30865" w:rsidRDefault="001552FD" w:rsidP="00814B9A">
      <w:pPr>
        <w:jc w:val="both"/>
        <w:rPr>
          <w:lang w:val="en-US"/>
        </w:rPr>
      </w:pPr>
      <w:r>
        <w:rPr>
          <w:lang w:val="en-US"/>
        </w:rPr>
        <w:t>When setting the sectoral benchmark values, a couple of things have to be considered.</w:t>
      </w:r>
    </w:p>
    <w:p w:rsidR="001552FD" w:rsidRDefault="00F85F86" w:rsidP="00F85F86">
      <w:pPr>
        <w:pStyle w:val="ListParagraph"/>
        <w:numPr>
          <w:ilvl w:val="0"/>
          <w:numId w:val="3"/>
        </w:numPr>
        <w:jc w:val="both"/>
        <w:rPr>
          <w:lang w:val="en-US"/>
        </w:rPr>
      </w:pPr>
      <w:r>
        <w:rPr>
          <w:lang w:val="en-US"/>
        </w:rPr>
        <w:t xml:space="preserve">All emission relevant parameters </w:t>
      </w:r>
      <w:r w:rsidR="0047665D">
        <w:rPr>
          <w:lang w:val="en-US"/>
        </w:rPr>
        <w:t xml:space="preserve">that can be influenced by a concessionaire </w:t>
      </w:r>
      <w:r>
        <w:rPr>
          <w:lang w:val="en-US"/>
        </w:rPr>
        <w:t xml:space="preserve">need to be covered. Otherwise, forestry concessions may reduce one parameter and increase another, </w:t>
      </w:r>
      <w:r>
        <w:rPr>
          <w:lang w:val="en-US"/>
        </w:rPr>
        <w:lastRenderedPageBreak/>
        <w:t xml:space="preserve">which </w:t>
      </w:r>
      <w:r w:rsidR="0015031A">
        <w:rPr>
          <w:lang w:val="en-US"/>
        </w:rPr>
        <w:t>may then not</w:t>
      </w:r>
      <w:r>
        <w:rPr>
          <w:lang w:val="en-US"/>
        </w:rPr>
        <w:t xml:space="preserve"> result in net emission reductions.</w:t>
      </w:r>
      <w:r w:rsidR="0015031A">
        <w:rPr>
          <w:lang w:val="en-US"/>
        </w:rPr>
        <w:t xml:space="preserve"> The parameters mentioned above capture all relevant logging related emissions that are influenced by the concessionaire.</w:t>
      </w:r>
    </w:p>
    <w:p w:rsidR="001E7E45" w:rsidRPr="0015031A" w:rsidRDefault="001E7E45" w:rsidP="00944E85">
      <w:pPr>
        <w:pStyle w:val="ListParagraph"/>
        <w:numPr>
          <w:ilvl w:val="0"/>
          <w:numId w:val="3"/>
        </w:numPr>
        <w:jc w:val="both"/>
        <w:rPr>
          <w:lang w:val="en-US"/>
        </w:rPr>
      </w:pPr>
      <w:r w:rsidRPr="0015031A">
        <w:rPr>
          <w:lang w:val="en-US"/>
        </w:rPr>
        <w:t>The parameters have to be seen as an “ensemble”, as they are to some extent connected. For example, a reduction in secondary road density usually would be compensated by an</w:t>
      </w:r>
      <w:r w:rsidR="0015031A">
        <w:rPr>
          <w:lang w:val="en-US"/>
        </w:rPr>
        <w:t xml:space="preserve"> increase in </w:t>
      </w:r>
      <w:proofErr w:type="spellStart"/>
      <w:r w:rsidR="0015031A">
        <w:rPr>
          <w:lang w:val="en-US"/>
        </w:rPr>
        <w:t>skidtrail</w:t>
      </w:r>
      <w:proofErr w:type="spellEnd"/>
      <w:r w:rsidR="0015031A">
        <w:rPr>
          <w:lang w:val="en-US"/>
        </w:rPr>
        <w:t xml:space="preserve"> density.</w:t>
      </w:r>
      <w:r w:rsidR="0051393C">
        <w:rPr>
          <w:lang w:val="en-US"/>
        </w:rPr>
        <w:t xml:space="preserve"> As such performance is not measured parameter by parameter but is rather the result of all parameters.</w:t>
      </w:r>
    </w:p>
    <w:p w:rsidR="00944E85" w:rsidRDefault="00F910FC" w:rsidP="00944E85">
      <w:pPr>
        <w:pStyle w:val="ListParagraph"/>
        <w:numPr>
          <w:ilvl w:val="0"/>
          <w:numId w:val="3"/>
        </w:numPr>
        <w:jc w:val="both"/>
        <w:rPr>
          <w:lang w:val="en-US"/>
        </w:rPr>
      </w:pPr>
      <w:r w:rsidRPr="0015031A">
        <w:rPr>
          <w:lang w:val="en-US"/>
        </w:rPr>
        <w:t>It is important to consider these parameters over the entire period of harvesting</w:t>
      </w:r>
      <w:r w:rsidR="00F33689" w:rsidRPr="0015031A">
        <w:rPr>
          <w:lang w:val="en-US"/>
        </w:rPr>
        <w:t xml:space="preserve"> for a given unit area</w:t>
      </w:r>
      <w:r w:rsidRPr="0015031A">
        <w:rPr>
          <w:lang w:val="en-US"/>
        </w:rPr>
        <w:t xml:space="preserve">. </w:t>
      </w:r>
      <w:r w:rsidR="006A42A0">
        <w:rPr>
          <w:lang w:val="en-US"/>
        </w:rPr>
        <w:t>The suggested area</w:t>
      </w:r>
      <w:r w:rsidR="00401D8D" w:rsidRPr="0015031A">
        <w:rPr>
          <w:lang w:val="en-US"/>
        </w:rPr>
        <w:t xml:space="preserve"> unit would be the "AAC", the annual harvesting area (</w:t>
      </w:r>
      <w:proofErr w:type="spellStart"/>
      <w:r w:rsidR="00401D8D" w:rsidRPr="006A42A0">
        <w:rPr>
          <w:lang w:val="en-US"/>
        </w:rPr>
        <w:t>Assiette</w:t>
      </w:r>
      <w:proofErr w:type="spellEnd"/>
      <w:r w:rsidR="007211E9">
        <w:rPr>
          <w:lang w:val="en-US"/>
        </w:rPr>
        <w:t xml:space="preserve"> </w:t>
      </w:r>
      <w:proofErr w:type="spellStart"/>
      <w:r w:rsidR="00401D8D" w:rsidRPr="006A42A0">
        <w:rPr>
          <w:lang w:val="en-US"/>
        </w:rPr>
        <w:t>annuelle</w:t>
      </w:r>
      <w:proofErr w:type="spellEnd"/>
      <w:r w:rsidR="00401D8D" w:rsidRPr="006A42A0">
        <w:rPr>
          <w:lang w:val="en-US"/>
        </w:rPr>
        <w:t xml:space="preserve"> de coupe</w:t>
      </w:r>
      <w:r w:rsidR="00401D8D" w:rsidRPr="0015031A">
        <w:rPr>
          <w:lang w:val="en-US"/>
        </w:rPr>
        <w:t xml:space="preserve">). </w:t>
      </w:r>
      <w:r w:rsidR="00FB69B2" w:rsidRPr="0015031A">
        <w:rPr>
          <w:lang w:val="en-US"/>
        </w:rPr>
        <w:t xml:space="preserve">Pending approval </w:t>
      </w:r>
      <w:r w:rsidR="00F33689" w:rsidRPr="0015031A">
        <w:rPr>
          <w:lang w:val="en-US"/>
        </w:rPr>
        <w:t>through the forest administration, o</w:t>
      </w:r>
      <w:r w:rsidR="00FB69B2" w:rsidRPr="0015031A">
        <w:rPr>
          <w:lang w:val="en-US"/>
        </w:rPr>
        <w:t>ne AAC can be harvested over a period of up to 3 years</w:t>
      </w:r>
      <w:r w:rsidR="00F33689" w:rsidRPr="0015031A">
        <w:rPr>
          <w:lang w:val="en-US"/>
        </w:rPr>
        <w:t xml:space="preserve"> after which it has to be "closed" (i.e. no further harvesting is permitted during the 25 year lease period). As such, </w:t>
      </w:r>
      <w:r w:rsidR="009A6E15" w:rsidRPr="0015031A">
        <w:rPr>
          <w:lang w:val="en-US"/>
        </w:rPr>
        <w:t xml:space="preserve">depending on the harvesting plans and progress of the forestry company, the ER-Program ERPA </w:t>
      </w:r>
      <w:r w:rsidR="001D4FBA" w:rsidRPr="0015031A">
        <w:rPr>
          <w:lang w:val="en-US"/>
        </w:rPr>
        <w:t xml:space="preserve">term would include 1-5 AACs per participating forestry </w:t>
      </w:r>
      <w:r w:rsidR="007211E9" w:rsidRPr="0015031A">
        <w:rPr>
          <w:lang w:val="en-US"/>
        </w:rPr>
        <w:t>Concession Company</w:t>
      </w:r>
      <w:r w:rsidR="001D4FBA" w:rsidRPr="0015031A">
        <w:rPr>
          <w:lang w:val="en-US"/>
        </w:rPr>
        <w:t>.</w:t>
      </w:r>
    </w:p>
    <w:p w:rsidR="00944E85" w:rsidRDefault="00944E85" w:rsidP="00944E85">
      <w:pPr>
        <w:pStyle w:val="ListParagraph"/>
        <w:jc w:val="both"/>
        <w:rPr>
          <w:lang w:val="en-US"/>
        </w:rPr>
      </w:pPr>
    </w:p>
    <w:p w:rsidR="00030B9B" w:rsidRPr="00030B9B" w:rsidRDefault="004F0C55" w:rsidP="00944E85">
      <w:pPr>
        <w:pStyle w:val="ListParagraph"/>
        <w:ind w:left="0"/>
        <w:jc w:val="both"/>
        <w:rPr>
          <w:lang w:val="en-US"/>
        </w:rPr>
      </w:pPr>
      <w:r>
        <w:rPr>
          <w:lang w:val="en-US"/>
        </w:rPr>
        <w:t>We propose to set t</w:t>
      </w:r>
      <w:r w:rsidR="001E7E45" w:rsidRPr="00944E85">
        <w:rPr>
          <w:lang w:val="en-US"/>
        </w:rPr>
        <w:t>he parameters based on baseline data</w:t>
      </w:r>
      <w:r w:rsidR="0051393C">
        <w:rPr>
          <w:lang w:val="en-US"/>
        </w:rPr>
        <w:t xml:space="preserve"> collected by WWF, GFA, </w:t>
      </w:r>
      <w:proofErr w:type="spellStart"/>
      <w:r w:rsidR="0051393C">
        <w:rPr>
          <w:lang w:val="en-US"/>
        </w:rPr>
        <w:t>FRMi</w:t>
      </w:r>
      <w:proofErr w:type="spellEnd"/>
      <w:r w:rsidR="0051393C">
        <w:rPr>
          <w:lang w:val="en-US"/>
        </w:rPr>
        <w:t xml:space="preserve"> and </w:t>
      </w:r>
      <w:r>
        <w:rPr>
          <w:lang w:val="en-US"/>
        </w:rPr>
        <w:t xml:space="preserve">SODEFOR during the years 2013-2017. </w:t>
      </w:r>
      <w:r w:rsidR="007D4F9B">
        <w:rPr>
          <w:lang w:val="en-US"/>
        </w:rPr>
        <w:t>We suggest to set the values as follows (see table 1)</w:t>
      </w:r>
    </w:p>
    <w:p w:rsidR="00FE35CF" w:rsidRDefault="00FE35CF" w:rsidP="00814B9A">
      <w:pPr>
        <w:jc w:val="both"/>
        <w:rPr>
          <w:lang w:val="en-US"/>
        </w:rPr>
      </w:pPr>
      <w:r w:rsidRPr="00FE35CF">
        <w:rPr>
          <w:b/>
          <w:lang w:val="en-US"/>
        </w:rPr>
        <w:t>Table 1:</w:t>
      </w:r>
      <w:r w:rsidR="007211E9">
        <w:rPr>
          <w:b/>
          <w:lang w:val="en-US"/>
        </w:rPr>
        <w:t xml:space="preserve"> </w:t>
      </w:r>
      <w:r w:rsidR="007A4F73">
        <w:rPr>
          <w:lang w:val="en-US"/>
        </w:rPr>
        <w:t>Proposed sectoral b</w:t>
      </w:r>
      <w:r>
        <w:rPr>
          <w:lang w:val="en-US"/>
        </w:rPr>
        <w:t>enchmark values against which the RIL performance of forestry concessions will be measured</w:t>
      </w:r>
    </w:p>
    <w:tbl>
      <w:tblPr>
        <w:tblStyle w:val="MediumShading1-Accent3"/>
        <w:tblW w:w="9180" w:type="dxa"/>
        <w:tblLayout w:type="fixed"/>
        <w:tblLook w:val="04A0" w:firstRow="1" w:lastRow="0" w:firstColumn="1" w:lastColumn="0" w:noHBand="0" w:noVBand="1"/>
      </w:tblPr>
      <w:tblGrid>
        <w:gridCol w:w="534"/>
        <w:gridCol w:w="2802"/>
        <w:gridCol w:w="883"/>
        <w:gridCol w:w="1276"/>
        <w:gridCol w:w="3685"/>
      </w:tblGrid>
      <w:tr w:rsidR="00C12CC5" w:rsidRPr="00C12CC5" w:rsidTr="00A11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C12CC5" w:rsidRDefault="00C12CC5" w:rsidP="000D37D8">
            <w:pPr>
              <w:rPr>
                <w:color w:val="auto"/>
                <w:lang w:val="en-US"/>
              </w:rPr>
            </w:pPr>
            <w:r w:rsidRPr="00C12CC5">
              <w:rPr>
                <w:color w:val="auto"/>
                <w:lang w:val="en-US"/>
              </w:rPr>
              <w:t>N°</w:t>
            </w:r>
          </w:p>
        </w:tc>
        <w:tc>
          <w:tcPr>
            <w:tcW w:w="2802" w:type="dxa"/>
            <w:vAlign w:val="center"/>
          </w:tcPr>
          <w:p w:rsidR="00C12CC5" w:rsidRPr="00C12CC5" w:rsidRDefault="00C12CC5" w:rsidP="000D37D8">
            <w:pPr>
              <w:cnfStyle w:val="100000000000" w:firstRow="1" w:lastRow="0" w:firstColumn="0" w:lastColumn="0" w:oddVBand="0" w:evenVBand="0" w:oddHBand="0" w:evenHBand="0" w:firstRowFirstColumn="0" w:firstRowLastColumn="0" w:lastRowFirstColumn="0" w:lastRowLastColumn="0"/>
              <w:rPr>
                <w:color w:val="auto"/>
                <w:lang w:val="en-US"/>
              </w:rPr>
            </w:pPr>
            <w:r w:rsidRPr="00C12CC5">
              <w:rPr>
                <w:color w:val="auto"/>
                <w:lang w:val="en-US"/>
              </w:rPr>
              <w:t>Parameter</w:t>
            </w:r>
          </w:p>
        </w:tc>
        <w:tc>
          <w:tcPr>
            <w:tcW w:w="883" w:type="dxa"/>
            <w:vAlign w:val="center"/>
          </w:tcPr>
          <w:p w:rsidR="00C12CC5" w:rsidRPr="00C12CC5" w:rsidRDefault="00C12CC5" w:rsidP="000D37D8">
            <w:pPr>
              <w:cnfStyle w:val="100000000000" w:firstRow="1" w:lastRow="0" w:firstColumn="0" w:lastColumn="0" w:oddVBand="0" w:evenVBand="0" w:oddHBand="0" w:evenHBand="0" w:firstRowFirstColumn="0" w:firstRowLastColumn="0" w:lastRowFirstColumn="0" w:lastRowLastColumn="0"/>
              <w:rPr>
                <w:color w:val="auto"/>
                <w:lang w:val="en-US"/>
              </w:rPr>
            </w:pPr>
            <w:r w:rsidRPr="00C12CC5">
              <w:rPr>
                <w:color w:val="auto"/>
                <w:lang w:val="en-US"/>
              </w:rPr>
              <w:t>Unit</w:t>
            </w:r>
          </w:p>
        </w:tc>
        <w:tc>
          <w:tcPr>
            <w:tcW w:w="1276" w:type="dxa"/>
            <w:vAlign w:val="center"/>
          </w:tcPr>
          <w:p w:rsidR="00C12CC5" w:rsidRPr="00C12CC5" w:rsidRDefault="00C12CC5" w:rsidP="000D37D8">
            <w:pPr>
              <w:cnfStyle w:val="100000000000" w:firstRow="1" w:lastRow="0" w:firstColumn="0" w:lastColumn="0" w:oddVBand="0" w:evenVBand="0" w:oddHBand="0" w:evenHBand="0" w:firstRowFirstColumn="0" w:firstRowLastColumn="0" w:lastRowFirstColumn="0" w:lastRowLastColumn="0"/>
              <w:rPr>
                <w:color w:val="auto"/>
                <w:lang w:val="en-US"/>
              </w:rPr>
            </w:pPr>
            <w:r w:rsidRPr="00C12CC5">
              <w:rPr>
                <w:color w:val="auto"/>
                <w:lang w:val="en-US"/>
              </w:rPr>
              <w:t>Benchmark value</w:t>
            </w:r>
          </w:p>
        </w:tc>
        <w:tc>
          <w:tcPr>
            <w:tcW w:w="3685" w:type="dxa"/>
            <w:vAlign w:val="center"/>
          </w:tcPr>
          <w:p w:rsidR="00C12CC5" w:rsidRPr="00C12CC5" w:rsidRDefault="00C12CC5" w:rsidP="00A11175">
            <w:pPr>
              <w:cnfStyle w:val="100000000000" w:firstRow="1" w:lastRow="0" w:firstColumn="0" w:lastColumn="0" w:oddVBand="0" w:evenVBand="0" w:oddHBand="0" w:evenHBand="0" w:firstRowFirstColumn="0" w:firstRowLastColumn="0" w:lastRowFirstColumn="0" w:lastRowLastColumn="0"/>
              <w:rPr>
                <w:color w:val="auto"/>
                <w:lang w:val="en-US"/>
              </w:rPr>
            </w:pPr>
            <w:r w:rsidRPr="00C12CC5">
              <w:rPr>
                <w:color w:val="auto"/>
                <w:lang w:val="en-US"/>
              </w:rPr>
              <w:t>Source of benchmark value</w:t>
            </w:r>
          </w:p>
        </w:tc>
      </w:tr>
      <w:tr w:rsidR="00C12CC5" w:rsidRPr="00ED407B" w:rsidTr="00A11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0D37D8" w:rsidRDefault="00C559E9" w:rsidP="000D37D8">
            <w:pPr>
              <w:rPr>
                <w:lang w:val="en-US"/>
              </w:rPr>
            </w:pPr>
            <w:r>
              <w:rPr>
                <w:lang w:val="en-US"/>
              </w:rPr>
              <w:t>1</w:t>
            </w:r>
          </w:p>
        </w:tc>
        <w:tc>
          <w:tcPr>
            <w:tcW w:w="2802" w:type="dxa"/>
            <w:vAlign w:val="center"/>
          </w:tcPr>
          <w:p w:rsidR="00C12CC5" w:rsidRPr="000D37D8" w:rsidRDefault="00C12CC5" w:rsidP="000D37D8">
            <w:pPr>
              <w:cnfStyle w:val="000000100000" w:firstRow="0" w:lastRow="0" w:firstColumn="0" w:lastColumn="0" w:oddVBand="0" w:evenVBand="0" w:oddHBand="1" w:evenHBand="0" w:firstRowFirstColumn="0" w:firstRowLastColumn="0" w:lastRowFirstColumn="0" w:lastRowLastColumn="0"/>
              <w:rPr>
                <w:b/>
                <w:lang w:val="en-US"/>
              </w:rPr>
            </w:pPr>
            <w:r w:rsidRPr="000D37D8">
              <w:rPr>
                <w:lang w:val="en-US"/>
              </w:rPr>
              <w:t>Density of principal roads</w:t>
            </w:r>
          </w:p>
        </w:tc>
        <w:tc>
          <w:tcPr>
            <w:tcW w:w="883" w:type="dxa"/>
            <w:vAlign w:val="center"/>
          </w:tcPr>
          <w:p w:rsidR="00C12CC5"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m/ha</w:t>
            </w:r>
          </w:p>
        </w:tc>
        <w:tc>
          <w:tcPr>
            <w:tcW w:w="1276" w:type="dxa"/>
            <w:vAlign w:val="center"/>
          </w:tcPr>
          <w:p w:rsidR="00C12CC5"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6</w:t>
            </w:r>
          </w:p>
        </w:tc>
        <w:tc>
          <w:tcPr>
            <w:tcW w:w="3685" w:type="dxa"/>
            <w:vAlign w:val="center"/>
          </w:tcPr>
          <w:p w:rsidR="00C12CC5" w:rsidRDefault="004F0C55" w:rsidP="00A11175">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Based on </w:t>
            </w:r>
            <w:r w:rsidR="00C12CC5">
              <w:rPr>
                <w:lang w:val="en-US"/>
              </w:rPr>
              <w:t>Hirsh et al. 2013</w:t>
            </w:r>
            <w:r w:rsidR="00386F0E">
              <w:rPr>
                <w:lang w:val="en-US"/>
              </w:rPr>
              <w:t xml:space="preserve"> and </w:t>
            </w:r>
            <w:proofErr w:type="spellStart"/>
            <w:r w:rsidR="00386F0E">
              <w:rPr>
                <w:lang w:val="en-US"/>
              </w:rPr>
              <w:t>FRMi</w:t>
            </w:r>
            <w:proofErr w:type="spellEnd"/>
            <w:r w:rsidR="00386F0E">
              <w:rPr>
                <w:lang w:val="en-US"/>
              </w:rPr>
              <w:t xml:space="preserve"> 2015</w:t>
            </w:r>
          </w:p>
        </w:tc>
      </w:tr>
      <w:tr w:rsidR="00C12CC5" w:rsidRPr="00ED407B" w:rsidTr="00A11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0D37D8" w:rsidRDefault="00C559E9" w:rsidP="000D37D8">
            <w:pPr>
              <w:rPr>
                <w:lang w:val="en-US"/>
              </w:rPr>
            </w:pPr>
            <w:r>
              <w:rPr>
                <w:lang w:val="en-US"/>
              </w:rPr>
              <w:t>2</w:t>
            </w:r>
          </w:p>
        </w:tc>
        <w:tc>
          <w:tcPr>
            <w:tcW w:w="2802" w:type="dxa"/>
            <w:vAlign w:val="center"/>
          </w:tcPr>
          <w:p w:rsidR="00C12CC5" w:rsidRPr="000D37D8" w:rsidRDefault="00C12CC5" w:rsidP="000D37D8">
            <w:pPr>
              <w:cnfStyle w:val="000000010000" w:firstRow="0" w:lastRow="0" w:firstColumn="0" w:lastColumn="0" w:oddVBand="0" w:evenVBand="0" w:oddHBand="0" w:evenHBand="1" w:firstRowFirstColumn="0" w:firstRowLastColumn="0" w:lastRowFirstColumn="0" w:lastRowLastColumn="0"/>
              <w:rPr>
                <w:b/>
                <w:lang w:val="en-US"/>
              </w:rPr>
            </w:pPr>
            <w:r w:rsidRPr="000D37D8">
              <w:rPr>
                <w:lang w:val="en-US"/>
              </w:rPr>
              <w:t>Density of secondary roads</w:t>
            </w:r>
          </w:p>
        </w:tc>
        <w:tc>
          <w:tcPr>
            <w:tcW w:w="883" w:type="dxa"/>
            <w:vAlign w:val="center"/>
          </w:tcPr>
          <w:p w:rsidR="00C12CC5" w:rsidRDefault="00C12CC5" w:rsidP="000D37D8">
            <w:pPr>
              <w:cnfStyle w:val="000000010000" w:firstRow="0" w:lastRow="0" w:firstColumn="0" w:lastColumn="0" w:oddVBand="0" w:evenVBand="0" w:oddHBand="0" w:evenHBand="1" w:firstRowFirstColumn="0" w:firstRowLastColumn="0" w:lastRowFirstColumn="0" w:lastRowLastColumn="0"/>
              <w:rPr>
                <w:lang w:val="en-US"/>
              </w:rPr>
            </w:pPr>
            <w:r>
              <w:rPr>
                <w:lang w:val="en-US"/>
              </w:rPr>
              <w:t>m/ha</w:t>
            </w:r>
          </w:p>
        </w:tc>
        <w:tc>
          <w:tcPr>
            <w:tcW w:w="1276" w:type="dxa"/>
            <w:vAlign w:val="center"/>
          </w:tcPr>
          <w:p w:rsidR="00C12CC5" w:rsidRDefault="00C12CC5" w:rsidP="000D37D8">
            <w:pPr>
              <w:cnfStyle w:val="000000010000" w:firstRow="0" w:lastRow="0" w:firstColumn="0" w:lastColumn="0" w:oddVBand="0" w:evenVBand="0" w:oddHBand="0" w:evenHBand="1" w:firstRowFirstColumn="0" w:firstRowLastColumn="0" w:lastRowFirstColumn="0" w:lastRowLastColumn="0"/>
              <w:rPr>
                <w:lang w:val="en-US"/>
              </w:rPr>
            </w:pPr>
            <w:r>
              <w:rPr>
                <w:lang w:val="en-US"/>
              </w:rPr>
              <w:t>6</w:t>
            </w:r>
          </w:p>
        </w:tc>
        <w:tc>
          <w:tcPr>
            <w:tcW w:w="3685" w:type="dxa"/>
            <w:vAlign w:val="center"/>
          </w:tcPr>
          <w:p w:rsidR="00C12CC5" w:rsidRDefault="00386F0E" w:rsidP="00A11175">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Based on Hirsh et al. 2013 and </w:t>
            </w:r>
            <w:proofErr w:type="spellStart"/>
            <w:r>
              <w:rPr>
                <w:lang w:val="en-US"/>
              </w:rPr>
              <w:t>FRMi</w:t>
            </w:r>
            <w:proofErr w:type="spellEnd"/>
            <w:r>
              <w:rPr>
                <w:lang w:val="en-US"/>
              </w:rPr>
              <w:t xml:space="preserve"> 2015</w:t>
            </w:r>
          </w:p>
        </w:tc>
      </w:tr>
      <w:tr w:rsidR="00C12CC5" w:rsidRPr="00ED407B" w:rsidTr="00A11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Default="00C559E9" w:rsidP="000D37D8">
            <w:pPr>
              <w:rPr>
                <w:lang w:val="en-US"/>
              </w:rPr>
            </w:pPr>
            <w:r>
              <w:rPr>
                <w:lang w:val="en-US"/>
              </w:rPr>
              <w:t>3</w:t>
            </w:r>
          </w:p>
        </w:tc>
        <w:tc>
          <w:tcPr>
            <w:tcW w:w="2802" w:type="dxa"/>
            <w:vAlign w:val="center"/>
          </w:tcPr>
          <w:p w:rsidR="00C12CC5" w:rsidRPr="000D37D8" w:rsidRDefault="00C12CC5" w:rsidP="00C12CC5">
            <w:pPr>
              <w:cnfStyle w:val="000000100000" w:firstRow="0" w:lastRow="0" w:firstColumn="0" w:lastColumn="0" w:oddVBand="0" w:evenVBand="0" w:oddHBand="1" w:evenHBand="0" w:firstRowFirstColumn="0" w:firstRowLastColumn="0" w:lastRowFirstColumn="0" w:lastRowLastColumn="0"/>
              <w:rPr>
                <w:b/>
                <w:lang w:val="en-US"/>
              </w:rPr>
            </w:pPr>
            <w:r>
              <w:rPr>
                <w:lang w:val="en-US"/>
              </w:rPr>
              <w:t>Principal road width (the actual road strip)</w:t>
            </w:r>
          </w:p>
        </w:tc>
        <w:tc>
          <w:tcPr>
            <w:tcW w:w="883" w:type="dxa"/>
            <w:vAlign w:val="center"/>
          </w:tcPr>
          <w:p w:rsidR="00C12CC5"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m</w:t>
            </w:r>
          </w:p>
        </w:tc>
        <w:tc>
          <w:tcPr>
            <w:tcW w:w="1276" w:type="dxa"/>
            <w:vAlign w:val="center"/>
          </w:tcPr>
          <w:p w:rsidR="00C12CC5"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8</w:t>
            </w:r>
          </w:p>
        </w:tc>
        <w:tc>
          <w:tcPr>
            <w:tcW w:w="3685" w:type="dxa"/>
            <w:vAlign w:val="center"/>
          </w:tcPr>
          <w:p w:rsidR="00C12CC5" w:rsidRPr="004F0C55" w:rsidRDefault="004F0C55" w:rsidP="00A11175">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Based on </w:t>
            </w:r>
            <w:r w:rsidR="0030087E">
              <w:rPr>
                <w:lang w:val="en-US"/>
              </w:rPr>
              <w:t>Hirsh et al. 2013</w:t>
            </w:r>
            <w:r w:rsidR="00386F0E">
              <w:rPr>
                <w:lang w:val="en-US"/>
              </w:rPr>
              <w:t>, GFA 2014 (unpublished)</w:t>
            </w:r>
            <w:r>
              <w:rPr>
                <w:lang w:val="en-US"/>
              </w:rPr>
              <w:t xml:space="preserve"> and </w:t>
            </w:r>
            <w:proofErr w:type="spellStart"/>
            <w:r w:rsidR="0030087E">
              <w:rPr>
                <w:lang w:val="en-US"/>
              </w:rPr>
              <w:t>FRMi</w:t>
            </w:r>
            <w:proofErr w:type="spellEnd"/>
            <w:r w:rsidR="0030087E">
              <w:rPr>
                <w:lang w:val="en-US"/>
              </w:rPr>
              <w:t xml:space="preserve"> 2015</w:t>
            </w:r>
          </w:p>
        </w:tc>
      </w:tr>
      <w:tr w:rsidR="00C12CC5" w:rsidRPr="00ED407B" w:rsidTr="00A11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0D37D8" w:rsidRDefault="00C559E9" w:rsidP="000D37D8">
            <w:pPr>
              <w:rPr>
                <w:lang w:val="en-US"/>
              </w:rPr>
            </w:pPr>
            <w:r>
              <w:rPr>
                <w:lang w:val="en-US"/>
              </w:rPr>
              <w:t>4</w:t>
            </w:r>
          </w:p>
        </w:tc>
        <w:tc>
          <w:tcPr>
            <w:tcW w:w="2802" w:type="dxa"/>
            <w:vAlign w:val="center"/>
          </w:tcPr>
          <w:p w:rsidR="00C12CC5" w:rsidRPr="000D37D8" w:rsidRDefault="00C12CC5" w:rsidP="000D37D8">
            <w:pPr>
              <w:cnfStyle w:val="000000010000" w:firstRow="0" w:lastRow="0" w:firstColumn="0" w:lastColumn="0" w:oddVBand="0" w:evenVBand="0" w:oddHBand="0" w:evenHBand="1" w:firstRowFirstColumn="0" w:firstRowLastColumn="0" w:lastRowFirstColumn="0" w:lastRowLastColumn="0"/>
              <w:rPr>
                <w:lang w:val="en-US"/>
              </w:rPr>
            </w:pPr>
            <w:r>
              <w:rPr>
                <w:lang w:val="en-US"/>
              </w:rPr>
              <w:t>Secondary road width (the actual road strip)</w:t>
            </w:r>
          </w:p>
        </w:tc>
        <w:tc>
          <w:tcPr>
            <w:tcW w:w="883" w:type="dxa"/>
            <w:vAlign w:val="center"/>
          </w:tcPr>
          <w:p w:rsidR="00C12CC5" w:rsidRPr="000D37D8" w:rsidRDefault="00C12CC5" w:rsidP="000D37D8">
            <w:pPr>
              <w:cnfStyle w:val="000000010000" w:firstRow="0" w:lastRow="0" w:firstColumn="0" w:lastColumn="0" w:oddVBand="0" w:evenVBand="0" w:oddHBand="0" w:evenHBand="1" w:firstRowFirstColumn="0" w:firstRowLastColumn="0" w:lastRowFirstColumn="0" w:lastRowLastColumn="0"/>
              <w:rPr>
                <w:lang w:val="en-US"/>
              </w:rPr>
            </w:pPr>
            <w:r>
              <w:rPr>
                <w:lang w:val="en-US"/>
              </w:rPr>
              <w:t>m</w:t>
            </w:r>
          </w:p>
        </w:tc>
        <w:tc>
          <w:tcPr>
            <w:tcW w:w="1276" w:type="dxa"/>
            <w:vAlign w:val="center"/>
          </w:tcPr>
          <w:p w:rsidR="00C12CC5" w:rsidRPr="000D37D8" w:rsidRDefault="00C12CC5" w:rsidP="005C73A4">
            <w:pPr>
              <w:ind w:left="-249" w:firstLine="249"/>
              <w:cnfStyle w:val="000000010000" w:firstRow="0" w:lastRow="0" w:firstColumn="0" w:lastColumn="0" w:oddVBand="0" w:evenVBand="0" w:oddHBand="0" w:evenHBand="1" w:firstRowFirstColumn="0" w:firstRowLastColumn="0" w:lastRowFirstColumn="0" w:lastRowLastColumn="0"/>
              <w:rPr>
                <w:lang w:val="en-US"/>
              </w:rPr>
            </w:pPr>
            <w:r>
              <w:rPr>
                <w:lang w:val="en-US"/>
              </w:rPr>
              <w:t>8</w:t>
            </w:r>
          </w:p>
        </w:tc>
        <w:tc>
          <w:tcPr>
            <w:tcW w:w="3685" w:type="dxa"/>
            <w:vAlign w:val="center"/>
          </w:tcPr>
          <w:p w:rsidR="00C12CC5" w:rsidRPr="004F0C55" w:rsidRDefault="00386F0E" w:rsidP="00A11175">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Based on Hirsh et al. 2013, GFA 2014 (unpublished) and </w:t>
            </w:r>
            <w:proofErr w:type="spellStart"/>
            <w:r>
              <w:rPr>
                <w:lang w:val="en-US"/>
              </w:rPr>
              <w:t>FRMi</w:t>
            </w:r>
            <w:proofErr w:type="spellEnd"/>
            <w:r>
              <w:rPr>
                <w:lang w:val="en-US"/>
              </w:rPr>
              <w:t xml:space="preserve"> 2015</w:t>
            </w:r>
          </w:p>
        </w:tc>
      </w:tr>
      <w:tr w:rsidR="00C12CC5" w:rsidRPr="00ED407B" w:rsidTr="00A11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0D37D8" w:rsidRDefault="00C559E9" w:rsidP="000D37D8">
            <w:pPr>
              <w:rPr>
                <w:lang w:val="en-US"/>
              </w:rPr>
            </w:pPr>
            <w:r>
              <w:rPr>
                <w:lang w:val="en-US"/>
              </w:rPr>
              <w:t>5</w:t>
            </w:r>
          </w:p>
        </w:tc>
        <w:tc>
          <w:tcPr>
            <w:tcW w:w="2802" w:type="dxa"/>
            <w:vAlign w:val="center"/>
          </w:tcPr>
          <w:p w:rsidR="00C12CC5" w:rsidRPr="000D37D8"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sidRPr="000D37D8">
              <w:rPr>
                <w:lang w:val="en-US"/>
              </w:rPr>
              <w:t>Width of the solar strips</w:t>
            </w:r>
            <w:r w:rsidR="0030087E">
              <w:rPr>
                <w:lang w:val="en-US"/>
              </w:rPr>
              <w:t xml:space="preserve"> along principal roads</w:t>
            </w:r>
            <w:r>
              <w:rPr>
                <w:lang w:val="en-US"/>
              </w:rPr>
              <w:t xml:space="preserve"> (left and right side)</w:t>
            </w:r>
          </w:p>
        </w:tc>
        <w:tc>
          <w:tcPr>
            <w:tcW w:w="883" w:type="dxa"/>
            <w:vAlign w:val="center"/>
          </w:tcPr>
          <w:p w:rsidR="00C12CC5" w:rsidRPr="000D37D8"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m</w:t>
            </w:r>
          </w:p>
        </w:tc>
        <w:tc>
          <w:tcPr>
            <w:tcW w:w="1276" w:type="dxa"/>
            <w:vAlign w:val="center"/>
          </w:tcPr>
          <w:p w:rsidR="00C12CC5" w:rsidRPr="000D37D8" w:rsidRDefault="008D3E0B"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30</w:t>
            </w:r>
          </w:p>
        </w:tc>
        <w:tc>
          <w:tcPr>
            <w:tcW w:w="3685" w:type="dxa"/>
            <w:vAlign w:val="center"/>
          </w:tcPr>
          <w:p w:rsidR="00C12CC5" w:rsidRPr="004F0C55" w:rsidRDefault="00A11175" w:rsidP="00A11175">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Based on Hirsh et al. 2013, GFA 2014 (unpublished), </w:t>
            </w:r>
            <w:proofErr w:type="spellStart"/>
            <w:r>
              <w:rPr>
                <w:lang w:val="en-US"/>
              </w:rPr>
              <w:t>FRMi</w:t>
            </w:r>
            <w:proofErr w:type="spellEnd"/>
            <w:r>
              <w:rPr>
                <w:lang w:val="en-US"/>
              </w:rPr>
              <w:t xml:space="preserve"> 2015, WWF/GFA/SODEFOR 2017 (unpublished)</w:t>
            </w:r>
          </w:p>
        </w:tc>
      </w:tr>
      <w:tr w:rsidR="00C12CC5" w:rsidRPr="00ED407B" w:rsidTr="00A11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0D37D8" w:rsidRDefault="00C559E9" w:rsidP="000D37D8">
            <w:pPr>
              <w:rPr>
                <w:lang w:val="en-US"/>
              </w:rPr>
            </w:pPr>
            <w:r>
              <w:rPr>
                <w:lang w:val="en-US"/>
              </w:rPr>
              <w:t>6</w:t>
            </w:r>
          </w:p>
        </w:tc>
        <w:tc>
          <w:tcPr>
            <w:tcW w:w="2802" w:type="dxa"/>
            <w:vAlign w:val="center"/>
          </w:tcPr>
          <w:p w:rsidR="00C12CC5" w:rsidRPr="000D37D8" w:rsidRDefault="00C12CC5" w:rsidP="000D37D8">
            <w:pPr>
              <w:cnfStyle w:val="000000010000" w:firstRow="0" w:lastRow="0" w:firstColumn="0" w:lastColumn="0" w:oddVBand="0" w:evenVBand="0" w:oddHBand="0" w:evenHBand="1" w:firstRowFirstColumn="0" w:firstRowLastColumn="0" w:lastRowFirstColumn="0" w:lastRowLastColumn="0"/>
              <w:rPr>
                <w:b/>
                <w:lang w:val="en-US"/>
              </w:rPr>
            </w:pPr>
            <w:r w:rsidRPr="000D37D8">
              <w:rPr>
                <w:lang w:val="en-US"/>
              </w:rPr>
              <w:t>Width of the solar strips</w:t>
            </w:r>
            <w:r>
              <w:rPr>
                <w:lang w:val="en-US"/>
              </w:rPr>
              <w:t xml:space="preserve"> (left and right side)</w:t>
            </w:r>
          </w:p>
        </w:tc>
        <w:tc>
          <w:tcPr>
            <w:tcW w:w="883" w:type="dxa"/>
            <w:vAlign w:val="center"/>
          </w:tcPr>
          <w:p w:rsidR="00C12CC5" w:rsidRPr="000D37D8" w:rsidRDefault="00C12CC5" w:rsidP="000D37D8">
            <w:pPr>
              <w:cnfStyle w:val="000000010000" w:firstRow="0" w:lastRow="0" w:firstColumn="0" w:lastColumn="0" w:oddVBand="0" w:evenVBand="0" w:oddHBand="0" w:evenHBand="1" w:firstRowFirstColumn="0" w:firstRowLastColumn="0" w:lastRowFirstColumn="0" w:lastRowLastColumn="0"/>
              <w:rPr>
                <w:lang w:val="en-US"/>
              </w:rPr>
            </w:pPr>
            <w:r w:rsidRPr="000D37D8">
              <w:rPr>
                <w:lang w:val="en-US"/>
              </w:rPr>
              <w:t>m</w:t>
            </w:r>
          </w:p>
        </w:tc>
        <w:tc>
          <w:tcPr>
            <w:tcW w:w="1276" w:type="dxa"/>
            <w:vAlign w:val="center"/>
          </w:tcPr>
          <w:p w:rsidR="00C12CC5" w:rsidRPr="000D37D8" w:rsidRDefault="0030087E" w:rsidP="000D37D8">
            <w:pPr>
              <w:cnfStyle w:val="000000010000" w:firstRow="0" w:lastRow="0" w:firstColumn="0" w:lastColumn="0" w:oddVBand="0" w:evenVBand="0" w:oddHBand="0" w:evenHBand="1" w:firstRowFirstColumn="0" w:firstRowLastColumn="0" w:lastRowFirstColumn="0" w:lastRowLastColumn="0"/>
              <w:rPr>
                <w:lang w:val="en-US"/>
              </w:rPr>
            </w:pPr>
            <w:r>
              <w:rPr>
                <w:lang w:val="en-US"/>
              </w:rPr>
              <w:t>20</w:t>
            </w:r>
          </w:p>
        </w:tc>
        <w:tc>
          <w:tcPr>
            <w:tcW w:w="3685" w:type="dxa"/>
            <w:vAlign w:val="center"/>
          </w:tcPr>
          <w:p w:rsidR="00C12CC5" w:rsidRPr="004F0C55" w:rsidRDefault="00A11175" w:rsidP="00A11175">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Based on Hirsh et al. 2013, GFA 2014 (unpublished), </w:t>
            </w:r>
            <w:proofErr w:type="spellStart"/>
            <w:r>
              <w:rPr>
                <w:lang w:val="en-US"/>
              </w:rPr>
              <w:t>FRMi</w:t>
            </w:r>
            <w:proofErr w:type="spellEnd"/>
            <w:r>
              <w:rPr>
                <w:lang w:val="en-US"/>
              </w:rPr>
              <w:t xml:space="preserve"> 2015, WWF/GFA/SODEFOR 2017 (unpublished)</w:t>
            </w:r>
          </w:p>
        </w:tc>
      </w:tr>
      <w:tr w:rsidR="00C12CC5" w:rsidRPr="00ED407B" w:rsidTr="00A11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Pr="00383376" w:rsidRDefault="00C559E9" w:rsidP="000D37D8">
            <w:pPr>
              <w:rPr>
                <w:lang w:val="en-US"/>
              </w:rPr>
            </w:pPr>
            <w:r>
              <w:rPr>
                <w:lang w:val="en-US"/>
              </w:rPr>
              <w:t>7</w:t>
            </w:r>
          </w:p>
        </w:tc>
        <w:tc>
          <w:tcPr>
            <w:tcW w:w="2802" w:type="dxa"/>
            <w:vAlign w:val="center"/>
          </w:tcPr>
          <w:p w:rsidR="00C12CC5" w:rsidRPr="00383376" w:rsidRDefault="00C12CC5" w:rsidP="000D37D8">
            <w:pPr>
              <w:cnfStyle w:val="000000100000" w:firstRow="0" w:lastRow="0" w:firstColumn="0" w:lastColumn="0" w:oddVBand="0" w:evenVBand="0" w:oddHBand="1" w:evenHBand="0" w:firstRowFirstColumn="0" w:firstRowLastColumn="0" w:lastRowFirstColumn="0" w:lastRowLastColumn="0"/>
              <w:rPr>
                <w:b/>
                <w:lang w:val="en-US"/>
              </w:rPr>
            </w:pPr>
            <w:r w:rsidRPr="00383376">
              <w:rPr>
                <w:lang w:val="en-US"/>
              </w:rPr>
              <w:t xml:space="preserve">Density of </w:t>
            </w:r>
            <w:r w:rsidR="006433A7" w:rsidRPr="00383376">
              <w:rPr>
                <w:lang w:val="en-US"/>
              </w:rPr>
              <w:t>skid trails</w:t>
            </w:r>
          </w:p>
        </w:tc>
        <w:tc>
          <w:tcPr>
            <w:tcW w:w="883" w:type="dxa"/>
            <w:vAlign w:val="center"/>
          </w:tcPr>
          <w:p w:rsidR="00C12CC5" w:rsidRDefault="00C12CC5"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m/ha</w:t>
            </w:r>
          </w:p>
        </w:tc>
        <w:tc>
          <w:tcPr>
            <w:tcW w:w="1276" w:type="dxa"/>
            <w:vAlign w:val="center"/>
          </w:tcPr>
          <w:p w:rsidR="00C12CC5" w:rsidRDefault="008D3E0B" w:rsidP="000D37D8">
            <w:pPr>
              <w:cnfStyle w:val="000000100000" w:firstRow="0" w:lastRow="0" w:firstColumn="0" w:lastColumn="0" w:oddVBand="0" w:evenVBand="0" w:oddHBand="1" w:evenHBand="0" w:firstRowFirstColumn="0" w:firstRowLastColumn="0" w:lastRowFirstColumn="0" w:lastRowLastColumn="0"/>
              <w:rPr>
                <w:lang w:val="en-US"/>
              </w:rPr>
            </w:pPr>
            <w:r>
              <w:rPr>
                <w:lang w:val="en-US"/>
              </w:rPr>
              <w:t>85</w:t>
            </w:r>
          </w:p>
        </w:tc>
        <w:tc>
          <w:tcPr>
            <w:tcW w:w="3685" w:type="dxa"/>
            <w:vAlign w:val="center"/>
          </w:tcPr>
          <w:p w:rsidR="00C12CC5" w:rsidRDefault="004F0C55" w:rsidP="00A11175">
            <w:pPr>
              <w:cnfStyle w:val="000000100000" w:firstRow="0" w:lastRow="0" w:firstColumn="0" w:lastColumn="0" w:oddVBand="0" w:evenVBand="0" w:oddHBand="1" w:evenHBand="0" w:firstRowFirstColumn="0" w:firstRowLastColumn="0" w:lastRowFirstColumn="0" w:lastRowLastColumn="0"/>
              <w:rPr>
                <w:lang w:val="en-US"/>
              </w:rPr>
            </w:pPr>
            <w:r>
              <w:rPr>
                <w:lang w:val="en-US"/>
              </w:rPr>
              <w:t>Based on Hirsh et al. 2013</w:t>
            </w:r>
            <w:r w:rsidR="00A11175">
              <w:rPr>
                <w:lang w:val="en-US"/>
              </w:rPr>
              <w:t xml:space="preserve">, </w:t>
            </w:r>
            <w:proofErr w:type="spellStart"/>
            <w:r>
              <w:rPr>
                <w:lang w:val="en-US"/>
              </w:rPr>
              <w:t>FRMi</w:t>
            </w:r>
            <w:proofErr w:type="spellEnd"/>
            <w:r>
              <w:rPr>
                <w:lang w:val="en-US"/>
              </w:rPr>
              <w:t xml:space="preserve"> 2015</w:t>
            </w:r>
            <w:r w:rsidR="00A11175">
              <w:rPr>
                <w:lang w:val="en-US"/>
              </w:rPr>
              <w:t xml:space="preserve"> and WWF/GFA/SODEFOR 2017 (unpublished)</w:t>
            </w:r>
          </w:p>
        </w:tc>
      </w:tr>
      <w:tr w:rsidR="00F96140" w:rsidRPr="00ED407B" w:rsidTr="00A11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96140" w:rsidRDefault="00F96140" w:rsidP="000D37D8">
            <w:pPr>
              <w:rPr>
                <w:lang w:val="en-US"/>
              </w:rPr>
            </w:pPr>
            <w:r>
              <w:rPr>
                <w:lang w:val="en-US"/>
              </w:rPr>
              <w:t>8</w:t>
            </w:r>
          </w:p>
        </w:tc>
        <w:tc>
          <w:tcPr>
            <w:tcW w:w="2802" w:type="dxa"/>
            <w:vAlign w:val="center"/>
          </w:tcPr>
          <w:p w:rsidR="00F96140" w:rsidRDefault="00F96140" w:rsidP="002C0F5D">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Width of </w:t>
            </w:r>
            <w:r w:rsidR="006A42A0">
              <w:rPr>
                <w:lang w:val="en-US"/>
              </w:rPr>
              <w:t>skid trails</w:t>
            </w:r>
          </w:p>
        </w:tc>
        <w:tc>
          <w:tcPr>
            <w:tcW w:w="883" w:type="dxa"/>
            <w:vAlign w:val="center"/>
          </w:tcPr>
          <w:p w:rsidR="00F96140" w:rsidRDefault="00F96140" w:rsidP="002C0F5D">
            <w:pPr>
              <w:cnfStyle w:val="000000010000" w:firstRow="0" w:lastRow="0" w:firstColumn="0" w:lastColumn="0" w:oddVBand="0" w:evenVBand="0" w:oddHBand="0" w:evenHBand="1" w:firstRowFirstColumn="0" w:firstRowLastColumn="0" w:lastRowFirstColumn="0" w:lastRowLastColumn="0"/>
              <w:rPr>
                <w:lang w:val="en-US"/>
              </w:rPr>
            </w:pPr>
            <w:r>
              <w:rPr>
                <w:lang w:val="en-US"/>
              </w:rPr>
              <w:t>m</w:t>
            </w:r>
          </w:p>
        </w:tc>
        <w:tc>
          <w:tcPr>
            <w:tcW w:w="1276" w:type="dxa"/>
            <w:vAlign w:val="center"/>
          </w:tcPr>
          <w:p w:rsidR="00F96140" w:rsidRDefault="00F96140" w:rsidP="00A11175">
            <w:pPr>
              <w:ind w:right="-108"/>
              <w:cnfStyle w:val="000000010000" w:firstRow="0" w:lastRow="0" w:firstColumn="0" w:lastColumn="0" w:oddVBand="0" w:evenVBand="0" w:oddHBand="0" w:evenHBand="1" w:firstRowFirstColumn="0" w:firstRowLastColumn="0" w:lastRowFirstColumn="0" w:lastRowLastColumn="0"/>
              <w:rPr>
                <w:lang w:val="en-US"/>
              </w:rPr>
            </w:pPr>
            <w:r>
              <w:rPr>
                <w:lang w:val="en-US"/>
              </w:rPr>
              <w:t>4</w:t>
            </w:r>
          </w:p>
        </w:tc>
        <w:tc>
          <w:tcPr>
            <w:tcW w:w="3685" w:type="dxa"/>
            <w:vAlign w:val="center"/>
          </w:tcPr>
          <w:p w:rsidR="00F96140" w:rsidRDefault="00F96140" w:rsidP="00A11175">
            <w:pPr>
              <w:ind w:left="-108" w:right="-533" w:firstLine="108"/>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Based on Hirsh et al. 2013, GFA 2014 (unpublished), </w:t>
            </w:r>
            <w:proofErr w:type="spellStart"/>
            <w:r>
              <w:rPr>
                <w:lang w:val="en-US"/>
              </w:rPr>
              <w:t>FRMi</w:t>
            </w:r>
            <w:proofErr w:type="spellEnd"/>
            <w:r>
              <w:rPr>
                <w:lang w:val="en-US"/>
              </w:rPr>
              <w:t xml:space="preserve"> 2015, WWF/GFA/SODEFOR 2017 (unpublished)</w:t>
            </w:r>
          </w:p>
        </w:tc>
      </w:tr>
      <w:tr w:rsidR="00C12CC5" w:rsidTr="00A11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12CC5" w:rsidRDefault="00F96140" w:rsidP="000D37D8">
            <w:pPr>
              <w:rPr>
                <w:lang w:val="en-US"/>
              </w:rPr>
            </w:pPr>
            <w:r>
              <w:rPr>
                <w:lang w:val="en-US"/>
              </w:rPr>
              <w:t>9</w:t>
            </w:r>
          </w:p>
        </w:tc>
        <w:tc>
          <w:tcPr>
            <w:tcW w:w="2802" w:type="dxa"/>
            <w:vAlign w:val="center"/>
          </w:tcPr>
          <w:p w:rsidR="00C12CC5" w:rsidRPr="00383376" w:rsidRDefault="00C559E9" w:rsidP="002C0F5D">
            <w:pPr>
              <w:cnfStyle w:val="000000100000" w:firstRow="0" w:lastRow="0" w:firstColumn="0" w:lastColumn="0" w:oddVBand="0" w:evenVBand="0" w:oddHBand="1" w:evenHBand="0" w:firstRowFirstColumn="0" w:firstRowLastColumn="0" w:lastRowFirstColumn="0" w:lastRowLastColumn="0"/>
              <w:rPr>
                <w:b/>
                <w:lang w:val="en-US"/>
              </w:rPr>
            </w:pPr>
            <w:r>
              <w:rPr>
                <w:lang w:val="en-US"/>
              </w:rPr>
              <w:t>The surface o</w:t>
            </w:r>
            <w:r w:rsidR="00C12CC5">
              <w:rPr>
                <w:lang w:val="en-US"/>
              </w:rPr>
              <w:t>f log landings per unit of harvest</w:t>
            </w:r>
            <w:r>
              <w:rPr>
                <w:lang w:val="en-US"/>
              </w:rPr>
              <w:t xml:space="preserve">ed </w:t>
            </w:r>
            <w:r w:rsidR="002C0F5D">
              <w:rPr>
                <w:lang w:val="en-US"/>
              </w:rPr>
              <w:t>area</w:t>
            </w:r>
          </w:p>
        </w:tc>
        <w:tc>
          <w:tcPr>
            <w:tcW w:w="883" w:type="dxa"/>
            <w:vAlign w:val="center"/>
          </w:tcPr>
          <w:p w:rsidR="00C12CC5" w:rsidRDefault="00C12CC5" w:rsidP="002C0F5D">
            <w:pPr>
              <w:cnfStyle w:val="000000100000" w:firstRow="0" w:lastRow="0" w:firstColumn="0" w:lastColumn="0" w:oddVBand="0" w:evenVBand="0" w:oddHBand="1" w:evenHBand="0" w:firstRowFirstColumn="0" w:firstRowLastColumn="0" w:lastRowFirstColumn="0" w:lastRowLastColumn="0"/>
              <w:rPr>
                <w:lang w:val="en-US"/>
              </w:rPr>
            </w:pPr>
            <w:r>
              <w:rPr>
                <w:lang w:val="en-US"/>
              </w:rPr>
              <w:t>m²/</w:t>
            </w:r>
            <w:r w:rsidR="002C0F5D">
              <w:rPr>
                <w:lang w:val="en-US"/>
              </w:rPr>
              <w:t>ha</w:t>
            </w:r>
          </w:p>
        </w:tc>
        <w:tc>
          <w:tcPr>
            <w:tcW w:w="1276" w:type="dxa"/>
            <w:vAlign w:val="center"/>
          </w:tcPr>
          <w:p w:rsidR="00C12CC5" w:rsidRDefault="002C7A35" w:rsidP="00A11175">
            <w:pPr>
              <w:ind w:right="-108"/>
              <w:cnfStyle w:val="000000100000" w:firstRow="0" w:lastRow="0" w:firstColumn="0" w:lastColumn="0" w:oddVBand="0" w:evenVBand="0" w:oddHBand="1" w:evenHBand="0" w:firstRowFirstColumn="0" w:firstRowLastColumn="0" w:lastRowFirstColumn="0" w:lastRowLastColumn="0"/>
              <w:rPr>
                <w:lang w:val="en-US"/>
              </w:rPr>
            </w:pPr>
            <w:r>
              <w:rPr>
                <w:lang w:val="en-US"/>
              </w:rPr>
              <w:t>60</w:t>
            </w:r>
          </w:p>
        </w:tc>
        <w:tc>
          <w:tcPr>
            <w:tcW w:w="3685" w:type="dxa"/>
            <w:vAlign w:val="center"/>
          </w:tcPr>
          <w:p w:rsidR="00C12CC5" w:rsidRDefault="00A45B0F" w:rsidP="00A11175">
            <w:pPr>
              <w:ind w:left="-108" w:right="-533" w:firstLine="108"/>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FRMi</w:t>
            </w:r>
            <w:proofErr w:type="spellEnd"/>
            <w:r>
              <w:rPr>
                <w:lang w:val="en-US"/>
              </w:rPr>
              <w:t xml:space="preserve"> 2015</w:t>
            </w:r>
          </w:p>
        </w:tc>
      </w:tr>
    </w:tbl>
    <w:p w:rsidR="007D4905" w:rsidRDefault="007D4905" w:rsidP="00814B9A">
      <w:pPr>
        <w:jc w:val="both"/>
        <w:rPr>
          <w:lang w:val="en-US"/>
        </w:rPr>
      </w:pPr>
    </w:p>
    <w:p w:rsidR="00A45B0F" w:rsidRDefault="006F40BC" w:rsidP="00814B9A">
      <w:pPr>
        <w:jc w:val="both"/>
        <w:rPr>
          <w:lang w:val="en-US"/>
        </w:rPr>
      </w:pPr>
      <w:r>
        <w:rPr>
          <w:lang w:val="en-US"/>
        </w:rPr>
        <w:t xml:space="preserve">For the density of roads and </w:t>
      </w:r>
      <w:r w:rsidR="0063075E">
        <w:rPr>
          <w:lang w:val="en-US"/>
        </w:rPr>
        <w:t>skid trails</w:t>
      </w:r>
      <w:r>
        <w:rPr>
          <w:lang w:val="en-US"/>
        </w:rPr>
        <w:t xml:space="preserve">, we </w:t>
      </w:r>
      <w:r w:rsidR="00452C45">
        <w:rPr>
          <w:lang w:val="en-US"/>
        </w:rPr>
        <w:t xml:space="preserve">propose to </w:t>
      </w:r>
      <w:r>
        <w:rPr>
          <w:lang w:val="en-US"/>
        </w:rPr>
        <w:t xml:space="preserve">use values </w:t>
      </w:r>
      <w:r w:rsidR="00452C45">
        <w:rPr>
          <w:lang w:val="en-US"/>
        </w:rPr>
        <w:t xml:space="preserve">based on a publication from </w:t>
      </w:r>
      <w:r>
        <w:rPr>
          <w:lang w:val="en-US"/>
        </w:rPr>
        <w:t>Hirsh et al. (2013). These come from measurements in SODEFOR concession CCF 39/11 (</w:t>
      </w:r>
      <w:proofErr w:type="spellStart"/>
      <w:r>
        <w:rPr>
          <w:lang w:val="en-US"/>
        </w:rPr>
        <w:t>Nteno</w:t>
      </w:r>
      <w:proofErr w:type="spellEnd"/>
      <w:r>
        <w:rPr>
          <w:lang w:val="en-US"/>
        </w:rPr>
        <w:t>) in Mai-</w:t>
      </w:r>
      <w:r>
        <w:rPr>
          <w:lang w:val="en-US"/>
        </w:rPr>
        <w:lastRenderedPageBreak/>
        <w:t xml:space="preserve">Ndombe. Baseline </w:t>
      </w:r>
      <w:r w:rsidR="00497DC8">
        <w:rPr>
          <w:lang w:val="en-US"/>
        </w:rPr>
        <w:t xml:space="preserve">road density </w:t>
      </w:r>
      <w:r>
        <w:rPr>
          <w:lang w:val="en-US"/>
        </w:rPr>
        <w:t>data for other conc</w:t>
      </w:r>
      <w:r w:rsidR="00497DC8">
        <w:rPr>
          <w:lang w:val="en-US"/>
        </w:rPr>
        <w:t>essions shows values up to 6.3 m/ha for principal road density and up to 15.6 m/ha for secondary road density (</w:t>
      </w:r>
      <w:proofErr w:type="spellStart"/>
      <w:r w:rsidR="00497DC8">
        <w:rPr>
          <w:lang w:val="en-US"/>
        </w:rPr>
        <w:t>FRMi</w:t>
      </w:r>
      <w:proofErr w:type="spellEnd"/>
      <w:r w:rsidR="00497DC8">
        <w:rPr>
          <w:lang w:val="en-US"/>
        </w:rPr>
        <w:t xml:space="preserve"> 2015).</w:t>
      </w:r>
      <w:r w:rsidR="00707322">
        <w:rPr>
          <w:lang w:val="en-US"/>
        </w:rPr>
        <w:t xml:space="preserve">Other measurements for </w:t>
      </w:r>
      <w:proofErr w:type="spellStart"/>
      <w:r w:rsidR="00707322">
        <w:rPr>
          <w:lang w:val="en-US"/>
        </w:rPr>
        <w:t>skidtrail</w:t>
      </w:r>
      <w:proofErr w:type="spellEnd"/>
      <w:r w:rsidR="00707322">
        <w:rPr>
          <w:lang w:val="en-US"/>
        </w:rPr>
        <w:t xml:space="preserve"> density show up to 66 m/ha </w:t>
      </w:r>
      <w:r w:rsidR="00F8531D">
        <w:rPr>
          <w:lang w:val="en-US"/>
        </w:rPr>
        <w:t>(</w:t>
      </w:r>
      <w:proofErr w:type="spellStart"/>
      <w:r w:rsidR="00F8531D">
        <w:rPr>
          <w:lang w:val="en-US"/>
        </w:rPr>
        <w:t>FRMi</w:t>
      </w:r>
      <w:proofErr w:type="spellEnd"/>
      <w:r w:rsidR="00F8531D">
        <w:rPr>
          <w:lang w:val="en-US"/>
        </w:rPr>
        <w:t xml:space="preserve"> 2015). However, this value comes from a rather selective measurement not covering an entire AAC. </w:t>
      </w:r>
      <w:proofErr w:type="spellStart"/>
      <w:r w:rsidR="00F8531D">
        <w:rPr>
          <w:lang w:val="en-US"/>
        </w:rPr>
        <w:t>Skidtrail</w:t>
      </w:r>
      <w:proofErr w:type="spellEnd"/>
      <w:r w:rsidR="00F8531D">
        <w:rPr>
          <w:lang w:val="en-US"/>
        </w:rPr>
        <w:t xml:space="preserve"> density in the control zone of the RIL study </w:t>
      </w:r>
      <w:r w:rsidR="00452C45">
        <w:rPr>
          <w:lang w:val="en-US"/>
        </w:rPr>
        <w:t>(WWF/G</w:t>
      </w:r>
      <w:r w:rsidR="00F20EB5">
        <w:rPr>
          <w:lang w:val="en-US"/>
        </w:rPr>
        <w:t>F</w:t>
      </w:r>
      <w:r w:rsidR="00452C45">
        <w:rPr>
          <w:lang w:val="en-US"/>
        </w:rPr>
        <w:t xml:space="preserve">A/SODEFOR 2017, unpublished) </w:t>
      </w:r>
      <w:r w:rsidR="000446E7">
        <w:rPr>
          <w:lang w:val="en-US"/>
        </w:rPr>
        <w:t xml:space="preserve">area was only30m/ha. However, harvesting here was concentrated on selected species and did </w:t>
      </w:r>
      <w:r w:rsidR="00452C45">
        <w:rPr>
          <w:lang w:val="en-US"/>
        </w:rPr>
        <w:t xml:space="preserve">only include a fraction of the </w:t>
      </w:r>
      <w:r w:rsidR="000446E7">
        <w:rPr>
          <w:lang w:val="en-US"/>
        </w:rPr>
        <w:t xml:space="preserve">merchantable volume. As such we propose </w:t>
      </w:r>
      <w:r w:rsidR="00452C45">
        <w:rPr>
          <w:lang w:val="en-US"/>
        </w:rPr>
        <w:t>to retain the value</w:t>
      </w:r>
      <w:r w:rsidR="008422C3">
        <w:rPr>
          <w:lang w:val="en-US"/>
        </w:rPr>
        <w:t xml:space="preserve"> </w:t>
      </w:r>
      <w:r w:rsidR="00452C45">
        <w:rPr>
          <w:lang w:val="en-US"/>
        </w:rPr>
        <w:t>of 85</w:t>
      </w:r>
      <w:r w:rsidR="000446E7">
        <w:rPr>
          <w:lang w:val="en-US"/>
        </w:rPr>
        <w:t xml:space="preserve"> m/ha</w:t>
      </w:r>
      <w:r w:rsidR="00452C45">
        <w:rPr>
          <w:lang w:val="en-US"/>
        </w:rPr>
        <w:t xml:space="preserve"> from Hirsh et al. (2013). What should also be considered is that many of the published values were measured in SODEFOR concessions, a forestry concession company </w:t>
      </w:r>
      <w:r w:rsidR="009D1BD0">
        <w:rPr>
          <w:lang w:val="en-US"/>
        </w:rPr>
        <w:t xml:space="preserve">that is </w:t>
      </w:r>
      <w:r w:rsidR="00452C45">
        <w:rPr>
          <w:lang w:val="en-US"/>
        </w:rPr>
        <w:t xml:space="preserve">already implementing </w:t>
      </w:r>
      <w:r w:rsidR="009D1BD0">
        <w:rPr>
          <w:lang w:val="en-US"/>
        </w:rPr>
        <w:t xml:space="preserve">reduced impact logging. </w:t>
      </w:r>
      <w:r w:rsidR="007C3619">
        <w:rPr>
          <w:lang w:val="en-US"/>
        </w:rPr>
        <w:t xml:space="preserve">As such some values have been </w:t>
      </w:r>
      <w:r w:rsidR="000D235E">
        <w:rPr>
          <w:lang w:val="en-US"/>
        </w:rPr>
        <w:t xml:space="preserve">slightly </w:t>
      </w:r>
      <w:r w:rsidR="008422C3">
        <w:rPr>
          <w:lang w:val="en-US"/>
        </w:rPr>
        <w:t>adjusted</w:t>
      </w:r>
      <w:r w:rsidR="000D235E">
        <w:rPr>
          <w:lang w:val="en-US"/>
        </w:rPr>
        <w:t xml:space="preserve"> to account for the fact that the majority of forestry concession companies is not implementing RIL at present. Concerning road width, </w:t>
      </w:r>
      <w:r w:rsidR="002C7A35">
        <w:rPr>
          <w:lang w:val="en-US"/>
        </w:rPr>
        <w:t xml:space="preserve">the benchmark value for principal roads exceeds the general value provided in the </w:t>
      </w:r>
      <w:r w:rsidR="00A47F70">
        <w:rPr>
          <w:lang w:val="en-US"/>
        </w:rPr>
        <w:t>"</w:t>
      </w:r>
      <w:r w:rsidR="00A47F70" w:rsidRPr="00455F11">
        <w:rPr>
          <w:lang w:val="en-US"/>
        </w:rPr>
        <w:t xml:space="preserve">Guides </w:t>
      </w:r>
      <w:proofErr w:type="spellStart"/>
      <w:r w:rsidR="00A47F70" w:rsidRPr="00455F11">
        <w:rPr>
          <w:lang w:val="en-US"/>
        </w:rPr>
        <w:t>Opérationnels</w:t>
      </w:r>
      <w:proofErr w:type="spellEnd"/>
      <w:r w:rsidR="00A47F70" w:rsidRPr="00455F11">
        <w:rPr>
          <w:lang w:val="en-US"/>
        </w:rPr>
        <w:t xml:space="preserve"> EFIR</w:t>
      </w:r>
      <w:r w:rsidR="00A47F70">
        <w:rPr>
          <w:lang w:val="en-US"/>
        </w:rPr>
        <w:t>"</w:t>
      </w:r>
      <w:r w:rsidR="002C7A35">
        <w:rPr>
          <w:lang w:val="en-US"/>
        </w:rPr>
        <w:t xml:space="preserve">. </w:t>
      </w:r>
      <w:r w:rsidR="0063075E">
        <w:rPr>
          <w:lang w:val="en-US"/>
        </w:rPr>
        <w:t>We consider this appropriate though, as it better reflects current practices. The value from the "</w:t>
      </w:r>
      <w:r w:rsidR="0063075E" w:rsidRPr="00455F11">
        <w:rPr>
          <w:lang w:val="en-US"/>
        </w:rPr>
        <w:t xml:space="preserve">Guides </w:t>
      </w:r>
      <w:proofErr w:type="spellStart"/>
      <w:r w:rsidR="0063075E" w:rsidRPr="00455F11">
        <w:rPr>
          <w:lang w:val="en-US"/>
        </w:rPr>
        <w:t>Opérationnels</w:t>
      </w:r>
      <w:proofErr w:type="spellEnd"/>
      <w:r w:rsidR="0063075E" w:rsidRPr="00455F11">
        <w:rPr>
          <w:lang w:val="en-US"/>
        </w:rPr>
        <w:t xml:space="preserve"> EFIR</w:t>
      </w:r>
      <w:r w:rsidR="0063075E">
        <w:rPr>
          <w:lang w:val="en-US"/>
        </w:rPr>
        <w:t xml:space="preserve">" should be regarded more as the "target" value that should be reached by forestry companies. </w:t>
      </w:r>
      <w:r w:rsidR="00B40248">
        <w:rPr>
          <w:lang w:val="en-US"/>
        </w:rPr>
        <w:t>For the log landing</w:t>
      </w:r>
      <w:r w:rsidR="00A45B0F">
        <w:rPr>
          <w:lang w:val="en-US"/>
        </w:rPr>
        <w:t xml:space="preserve"> value, we use a value from the </w:t>
      </w:r>
      <w:proofErr w:type="spellStart"/>
      <w:r w:rsidR="00A45B0F">
        <w:rPr>
          <w:lang w:val="en-US"/>
        </w:rPr>
        <w:t>FRMi</w:t>
      </w:r>
      <w:proofErr w:type="spellEnd"/>
      <w:r w:rsidR="00A45B0F">
        <w:rPr>
          <w:lang w:val="en-US"/>
        </w:rPr>
        <w:t xml:space="preserve"> (2015) baseline study.</w:t>
      </w:r>
    </w:p>
    <w:p w:rsidR="00B40248" w:rsidRPr="00B40248" w:rsidRDefault="00B40248" w:rsidP="00814B9A">
      <w:pPr>
        <w:jc w:val="both"/>
        <w:rPr>
          <w:b/>
          <w:sz w:val="24"/>
          <w:szCs w:val="24"/>
          <w:lang w:val="en-US"/>
        </w:rPr>
      </w:pPr>
      <w:r w:rsidRPr="00B40248">
        <w:rPr>
          <w:b/>
          <w:sz w:val="24"/>
          <w:szCs w:val="24"/>
          <w:lang w:val="en-US"/>
        </w:rPr>
        <w:t>Calculation of performance based on the sectoral benchmark values</w:t>
      </w:r>
    </w:p>
    <w:p w:rsidR="00B40248" w:rsidRDefault="00B40248" w:rsidP="00814B9A">
      <w:pPr>
        <w:jc w:val="both"/>
        <w:rPr>
          <w:lang w:val="en-US"/>
        </w:rPr>
      </w:pPr>
      <w:r>
        <w:rPr>
          <w:lang w:val="en-US"/>
        </w:rPr>
        <w:t xml:space="preserve">As mentioned above, calculation of performance would occur on the basis of all </w:t>
      </w:r>
      <w:r w:rsidR="00D11B5D">
        <w:rPr>
          <w:lang w:val="en-US"/>
        </w:rPr>
        <w:t xml:space="preserve">the above listed </w:t>
      </w:r>
      <w:r w:rsidR="00045347">
        <w:rPr>
          <w:lang w:val="en-US"/>
        </w:rPr>
        <w:t xml:space="preserve">parameters. </w:t>
      </w:r>
      <w:r w:rsidR="00D11B5D">
        <w:rPr>
          <w:lang w:val="en-US"/>
        </w:rPr>
        <w:t xml:space="preserve">These parameters serve to calculate the activity data. </w:t>
      </w:r>
      <w:r w:rsidR="00045347">
        <w:rPr>
          <w:lang w:val="en-US"/>
        </w:rPr>
        <w:t xml:space="preserve">Forestry concession companies should strive to stay below each of the parameters. However, exceeding certain parameters could be tolerated, in particular as this may reflect good RIL practices. One example would be the reduction of secondary road density, which would entail an increase in </w:t>
      </w:r>
      <w:proofErr w:type="spellStart"/>
      <w:r w:rsidR="00045347">
        <w:rPr>
          <w:lang w:val="en-US"/>
        </w:rPr>
        <w:t>skidtrail</w:t>
      </w:r>
      <w:proofErr w:type="spellEnd"/>
      <w:r w:rsidR="00045347">
        <w:rPr>
          <w:lang w:val="en-US"/>
        </w:rPr>
        <w:t xml:space="preserve"> density. As </w:t>
      </w:r>
      <w:r w:rsidR="00A45B0F">
        <w:rPr>
          <w:lang w:val="en-US"/>
        </w:rPr>
        <w:t>skid trails</w:t>
      </w:r>
      <w:r w:rsidR="00045347">
        <w:rPr>
          <w:lang w:val="en-US"/>
        </w:rPr>
        <w:t xml:space="preserve"> have a much lower impact on biomass, exceeding the benchmark value for </w:t>
      </w:r>
      <w:r w:rsidR="00A45B0F">
        <w:rPr>
          <w:lang w:val="en-US"/>
        </w:rPr>
        <w:t>skid trails</w:t>
      </w:r>
      <w:r w:rsidR="00435D79">
        <w:rPr>
          <w:lang w:val="en-US"/>
        </w:rPr>
        <w:t xml:space="preserve"> could thus be tolerated if it </w:t>
      </w:r>
      <w:r w:rsidR="00D11B5D">
        <w:rPr>
          <w:lang w:val="en-US"/>
        </w:rPr>
        <w:t xml:space="preserve">is </w:t>
      </w:r>
      <w:r w:rsidR="00435D79">
        <w:rPr>
          <w:lang w:val="en-US"/>
        </w:rPr>
        <w:t>a result of reducing (secondary) road density.</w:t>
      </w:r>
    </w:p>
    <w:p w:rsidR="00A17081" w:rsidRDefault="00045347" w:rsidP="00814B9A">
      <w:pPr>
        <w:jc w:val="both"/>
        <w:rPr>
          <w:lang w:val="en-US"/>
        </w:rPr>
      </w:pPr>
      <w:r>
        <w:rPr>
          <w:lang w:val="en-US"/>
        </w:rPr>
        <w:t>Performance in terms of emission reductions would be cal</w:t>
      </w:r>
      <w:r w:rsidR="00EB71A9">
        <w:rPr>
          <w:lang w:val="en-US"/>
        </w:rPr>
        <w:t xml:space="preserve">culated based difference between the benchmark values and measured values. Based on previous research by Hirsh et al. (2013), GFA (2014, unpublished), </w:t>
      </w:r>
      <w:proofErr w:type="spellStart"/>
      <w:r w:rsidR="00EB71A9">
        <w:rPr>
          <w:lang w:val="en-US"/>
        </w:rPr>
        <w:t>FRMi</w:t>
      </w:r>
      <w:proofErr w:type="spellEnd"/>
      <w:r w:rsidR="00EB71A9">
        <w:rPr>
          <w:lang w:val="en-US"/>
        </w:rPr>
        <w:t xml:space="preserve"> (2015) and WWF/GFA/SODEFOR (2017, unpublished)</w:t>
      </w:r>
      <w:r w:rsidR="00D11B5D">
        <w:rPr>
          <w:lang w:val="en-US"/>
        </w:rPr>
        <w:t xml:space="preserve"> as well as the national biomass map (Saatchi et al. 2016)</w:t>
      </w:r>
      <w:r w:rsidR="00EB71A9">
        <w:rPr>
          <w:lang w:val="en-US"/>
        </w:rPr>
        <w:t xml:space="preserve">, </w:t>
      </w:r>
      <w:r w:rsidR="00A45B0F">
        <w:rPr>
          <w:lang w:val="en-US"/>
        </w:rPr>
        <w:t>emission factors</w:t>
      </w:r>
      <w:r w:rsidR="00EB71A9">
        <w:rPr>
          <w:lang w:val="en-US"/>
        </w:rPr>
        <w:t xml:space="preserve"> will be provided to the ER-Program.</w:t>
      </w:r>
      <w:r w:rsidR="00A17081">
        <w:rPr>
          <w:lang w:val="en-US"/>
        </w:rPr>
        <w:t xml:space="preserve"> Performance-based payments from the ER-Program to forestry concessionaires can thus be based directly on emission reductions</w:t>
      </w:r>
      <w:r w:rsidR="00DE33E5">
        <w:rPr>
          <w:lang w:val="en-US"/>
        </w:rPr>
        <w:t xml:space="preserve"> and paid as “Payment for Environmental Service proxy” (PES proxy)</w:t>
      </w:r>
      <w:r w:rsidR="00A17081">
        <w:rPr>
          <w:lang w:val="en-US"/>
        </w:rPr>
        <w:t>.</w:t>
      </w:r>
      <w:r w:rsidR="00435D79">
        <w:rPr>
          <w:lang w:val="en-US"/>
        </w:rPr>
        <w:t xml:space="preserve"> See Box 1 for a calculation example. Formulas and </w:t>
      </w:r>
      <w:r w:rsidR="00A45B0F">
        <w:rPr>
          <w:lang w:val="en-US"/>
        </w:rPr>
        <w:t xml:space="preserve">emission factors </w:t>
      </w:r>
      <w:r w:rsidR="00435D79">
        <w:rPr>
          <w:lang w:val="en-US"/>
        </w:rPr>
        <w:t>are provided in Annex 1 to this proposal.</w:t>
      </w:r>
    </w:p>
    <w:p w:rsidR="00435D79" w:rsidRPr="00AD417B" w:rsidRDefault="00435D79" w:rsidP="00814B9A">
      <w:pPr>
        <w:jc w:val="both"/>
        <w:rPr>
          <w:b/>
          <w:lang w:val="en-US"/>
        </w:rPr>
      </w:pPr>
      <w:r w:rsidRPr="00AD417B">
        <w:rPr>
          <w:b/>
          <w:lang w:val="en-US"/>
        </w:rPr>
        <w:t>Box 1: A calculation example</w:t>
      </w:r>
      <w:r w:rsidR="00DE33E5">
        <w:rPr>
          <w:b/>
          <w:lang w:val="en-US"/>
        </w:rPr>
        <w:t xml:space="preserve"> under PES proxy</w:t>
      </w:r>
    </w:p>
    <w:tbl>
      <w:tblPr>
        <w:tblStyle w:val="TableGrid"/>
        <w:tblW w:w="0" w:type="auto"/>
        <w:shd w:val="clear" w:color="auto" w:fill="EAF1DD" w:themeFill="accent3" w:themeFillTint="33"/>
        <w:tblLook w:val="04A0" w:firstRow="1" w:lastRow="0" w:firstColumn="1" w:lastColumn="0" w:noHBand="0" w:noVBand="1"/>
      </w:tblPr>
      <w:tblGrid>
        <w:gridCol w:w="9212"/>
      </w:tblGrid>
      <w:tr w:rsidR="00435D79" w:rsidRPr="00ED407B" w:rsidTr="00312DBE">
        <w:tc>
          <w:tcPr>
            <w:tcW w:w="9212" w:type="dxa"/>
            <w:shd w:val="clear" w:color="auto" w:fill="EAF1DD" w:themeFill="accent3" w:themeFillTint="33"/>
          </w:tcPr>
          <w:p w:rsidR="00435D79" w:rsidRPr="006C0F90" w:rsidRDefault="00AD417B" w:rsidP="00435D79">
            <w:pPr>
              <w:jc w:val="both"/>
              <w:rPr>
                <w:lang w:val="en-US"/>
              </w:rPr>
            </w:pPr>
            <w:r w:rsidRPr="006C0F90">
              <w:rPr>
                <w:lang w:val="en-US"/>
              </w:rPr>
              <w:t xml:space="preserve">A forestry company </w:t>
            </w:r>
            <w:r w:rsidR="00435D79" w:rsidRPr="006C0F90">
              <w:rPr>
                <w:lang w:val="en-US"/>
              </w:rPr>
              <w:t xml:space="preserve">enters into a contract with the ER-Program to carry out RIL activities. The contract is valid for the duration of the ERPA (5 years) and the ER-Program and the </w:t>
            </w:r>
            <w:r w:rsidR="002C0F5D" w:rsidRPr="006C0F90">
              <w:rPr>
                <w:lang w:val="en-US"/>
              </w:rPr>
              <w:t>company agree</w:t>
            </w:r>
            <w:r w:rsidRPr="006C0F90">
              <w:rPr>
                <w:lang w:val="en-US"/>
              </w:rPr>
              <w:t xml:space="preserve"> on a price of 5 USD per avoided ton of CO2. </w:t>
            </w:r>
          </w:p>
          <w:p w:rsidR="00435D79" w:rsidRPr="006C0F90" w:rsidRDefault="00435D79" w:rsidP="00814B9A">
            <w:pPr>
              <w:jc w:val="both"/>
              <w:rPr>
                <w:lang w:val="en-US"/>
              </w:rPr>
            </w:pPr>
          </w:p>
          <w:p w:rsidR="00435D79" w:rsidRPr="006C0F90" w:rsidRDefault="00435D79" w:rsidP="00814B9A">
            <w:pPr>
              <w:jc w:val="both"/>
              <w:rPr>
                <w:lang w:val="en-US"/>
              </w:rPr>
            </w:pPr>
            <w:r w:rsidRPr="006C0F90">
              <w:rPr>
                <w:lang w:val="en-US"/>
              </w:rPr>
              <w:t xml:space="preserve">During the 5 years of the ERPA, the company harvests </w:t>
            </w:r>
            <w:r w:rsidR="002C0F5D" w:rsidRPr="006C0F90">
              <w:rPr>
                <w:lang w:val="en-US"/>
              </w:rPr>
              <w:t xml:space="preserve">10,000 ha across </w:t>
            </w:r>
            <w:r w:rsidR="00AD417B" w:rsidRPr="006C0F90">
              <w:rPr>
                <w:lang w:val="en-US"/>
              </w:rPr>
              <w:t>several</w:t>
            </w:r>
            <w:r w:rsidR="002C0F5D" w:rsidRPr="006C0F90">
              <w:rPr>
                <w:lang w:val="en-US"/>
              </w:rPr>
              <w:t xml:space="preserve"> AACs, all of which are officially closed during the ERPA period. </w:t>
            </w:r>
          </w:p>
          <w:p w:rsidR="00435D79" w:rsidRPr="006C0F90" w:rsidRDefault="00435D79" w:rsidP="00814B9A">
            <w:pPr>
              <w:jc w:val="both"/>
              <w:rPr>
                <w:lang w:val="en-US"/>
              </w:rPr>
            </w:pPr>
          </w:p>
          <w:p w:rsidR="002C0F5D" w:rsidRPr="006C0F90" w:rsidRDefault="002C0F5D" w:rsidP="00814B9A">
            <w:pPr>
              <w:jc w:val="both"/>
              <w:rPr>
                <w:lang w:val="en-US"/>
              </w:rPr>
            </w:pPr>
            <w:r w:rsidRPr="006C0F90">
              <w:rPr>
                <w:lang w:val="en-US"/>
              </w:rPr>
              <w:t>On average, the company achieves the following performance:</w:t>
            </w:r>
          </w:p>
          <w:p w:rsidR="002C0F5D" w:rsidRPr="006C0F90" w:rsidRDefault="002C0F5D" w:rsidP="002C0F5D">
            <w:pPr>
              <w:pStyle w:val="ListParagraph"/>
              <w:numPr>
                <w:ilvl w:val="0"/>
                <w:numId w:val="9"/>
              </w:numPr>
              <w:jc w:val="both"/>
              <w:rPr>
                <w:lang w:val="en-US"/>
              </w:rPr>
            </w:pPr>
            <w:r w:rsidRPr="006C0F90">
              <w:rPr>
                <w:lang w:val="en-US"/>
              </w:rPr>
              <w:t>Density of principal roads: 3 m/ha</w:t>
            </w:r>
            <w:r w:rsidR="00FF1BCE" w:rsidRPr="006C0F90">
              <w:rPr>
                <w:lang w:val="en-US"/>
              </w:rPr>
              <w:t xml:space="preserve"> (reduction of 50%)</w:t>
            </w:r>
          </w:p>
          <w:p w:rsidR="002C0F5D" w:rsidRPr="006C0F90" w:rsidRDefault="002C0F5D" w:rsidP="002C0F5D">
            <w:pPr>
              <w:pStyle w:val="ListParagraph"/>
              <w:numPr>
                <w:ilvl w:val="0"/>
                <w:numId w:val="9"/>
              </w:numPr>
              <w:jc w:val="both"/>
              <w:rPr>
                <w:lang w:val="en-US"/>
              </w:rPr>
            </w:pPr>
            <w:r w:rsidRPr="006C0F90">
              <w:rPr>
                <w:lang w:val="en-US"/>
              </w:rPr>
              <w:t>Density of secondary roads: 3 m/ha</w:t>
            </w:r>
            <w:r w:rsidR="00FF1BCE" w:rsidRPr="006C0F90">
              <w:rPr>
                <w:lang w:val="en-US"/>
              </w:rPr>
              <w:t xml:space="preserve"> (reduction of 50%)</w:t>
            </w:r>
          </w:p>
          <w:p w:rsidR="002C0F5D" w:rsidRPr="006C0F90" w:rsidRDefault="002C0F5D" w:rsidP="002C0F5D">
            <w:pPr>
              <w:pStyle w:val="ListParagraph"/>
              <w:numPr>
                <w:ilvl w:val="0"/>
                <w:numId w:val="9"/>
              </w:numPr>
              <w:jc w:val="both"/>
              <w:rPr>
                <w:lang w:val="en-US"/>
              </w:rPr>
            </w:pPr>
            <w:r w:rsidRPr="006C0F90">
              <w:rPr>
                <w:lang w:val="en-US"/>
              </w:rPr>
              <w:t>Principal road width: 5.5 m</w:t>
            </w:r>
            <w:r w:rsidR="00FF1BCE" w:rsidRPr="006C0F90">
              <w:rPr>
                <w:lang w:val="en-US"/>
              </w:rPr>
              <w:t xml:space="preserve"> (reduction of 2.5 m)</w:t>
            </w:r>
          </w:p>
          <w:p w:rsidR="002C0F5D" w:rsidRPr="006C0F90" w:rsidRDefault="002C0F5D" w:rsidP="002C0F5D">
            <w:pPr>
              <w:pStyle w:val="ListParagraph"/>
              <w:numPr>
                <w:ilvl w:val="0"/>
                <w:numId w:val="9"/>
              </w:numPr>
              <w:jc w:val="both"/>
              <w:rPr>
                <w:lang w:val="en-US"/>
              </w:rPr>
            </w:pPr>
            <w:r w:rsidRPr="006C0F90">
              <w:rPr>
                <w:lang w:val="en-US"/>
              </w:rPr>
              <w:t>Secondary road width</w:t>
            </w:r>
            <w:r w:rsidR="00FF1BCE" w:rsidRPr="006C0F90">
              <w:rPr>
                <w:lang w:val="en-US"/>
              </w:rPr>
              <w:t>: 5 (reduction of 3 m)</w:t>
            </w:r>
          </w:p>
          <w:p w:rsidR="00FF1BCE" w:rsidRPr="006C0F90" w:rsidRDefault="00FF1BCE" w:rsidP="002C0F5D">
            <w:pPr>
              <w:pStyle w:val="ListParagraph"/>
              <w:numPr>
                <w:ilvl w:val="0"/>
                <w:numId w:val="9"/>
              </w:numPr>
              <w:jc w:val="both"/>
              <w:rPr>
                <w:lang w:val="en-US"/>
              </w:rPr>
            </w:pPr>
            <w:r w:rsidRPr="006C0F90">
              <w:rPr>
                <w:lang w:val="en-US"/>
              </w:rPr>
              <w:lastRenderedPageBreak/>
              <w:t>Width of solar strips along principal roads: 20 m (reduction of 10 m)</w:t>
            </w:r>
          </w:p>
          <w:p w:rsidR="00FF1BCE" w:rsidRPr="006C0F90" w:rsidRDefault="00FF1BCE" w:rsidP="002C0F5D">
            <w:pPr>
              <w:pStyle w:val="ListParagraph"/>
              <w:numPr>
                <w:ilvl w:val="0"/>
                <w:numId w:val="9"/>
              </w:numPr>
              <w:jc w:val="both"/>
              <w:rPr>
                <w:lang w:val="en-US"/>
              </w:rPr>
            </w:pPr>
            <w:r w:rsidRPr="006C0F90">
              <w:rPr>
                <w:lang w:val="en-US"/>
              </w:rPr>
              <w:t>Width of solar strips along secondary roads: 12m (reduction of 8 m)</w:t>
            </w:r>
          </w:p>
          <w:p w:rsidR="00FF1BCE" w:rsidRPr="006C0F90" w:rsidRDefault="00FF1BCE" w:rsidP="002C0F5D">
            <w:pPr>
              <w:pStyle w:val="ListParagraph"/>
              <w:numPr>
                <w:ilvl w:val="0"/>
                <w:numId w:val="9"/>
              </w:numPr>
              <w:jc w:val="both"/>
              <w:rPr>
                <w:lang w:val="en-US"/>
              </w:rPr>
            </w:pPr>
            <w:r w:rsidRPr="006C0F90">
              <w:rPr>
                <w:lang w:val="en-US"/>
              </w:rPr>
              <w:t xml:space="preserve">Density of </w:t>
            </w:r>
            <w:r w:rsidR="006C0619" w:rsidRPr="006C0F90">
              <w:rPr>
                <w:lang w:val="en-US"/>
              </w:rPr>
              <w:t>skid trails</w:t>
            </w:r>
            <w:r w:rsidRPr="006C0F90">
              <w:rPr>
                <w:lang w:val="en-US"/>
              </w:rPr>
              <w:t>: 85 m/ha (reduction of 30%)</w:t>
            </w:r>
          </w:p>
          <w:p w:rsidR="00FF1BCE" w:rsidRPr="006C0F90" w:rsidRDefault="00FF1BCE" w:rsidP="002C0F5D">
            <w:pPr>
              <w:pStyle w:val="ListParagraph"/>
              <w:numPr>
                <w:ilvl w:val="0"/>
                <w:numId w:val="9"/>
              </w:numPr>
              <w:jc w:val="both"/>
              <w:rPr>
                <w:lang w:val="en-US"/>
              </w:rPr>
            </w:pPr>
            <w:r w:rsidRPr="006C0F90">
              <w:rPr>
                <w:lang w:val="en-US"/>
              </w:rPr>
              <w:t xml:space="preserve">Area of log landings: </w:t>
            </w:r>
            <w:r w:rsidR="00D11B5D" w:rsidRPr="006C0F90">
              <w:rPr>
                <w:lang w:val="en-US"/>
              </w:rPr>
              <w:t>30m²/ha (reduction of 50%)</w:t>
            </w:r>
          </w:p>
          <w:p w:rsidR="002C0F5D" w:rsidRPr="006C0F90" w:rsidRDefault="002C0F5D" w:rsidP="00814B9A">
            <w:pPr>
              <w:jc w:val="both"/>
              <w:rPr>
                <w:lang w:val="en-US"/>
              </w:rPr>
            </w:pPr>
          </w:p>
          <w:p w:rsidR="001248A4" w:rsidRPr="006C0F90" w:rsidRDefault="001248A4" w:rsidP="00814B9A">
            <w:pPr>
              <w:jc w:val="both"/>
              <w:rPr>
                <w:lang w:val="en-US"/>
              </w:rPr>
            </w:pPr>
            <w:r w:rsidRPr="006C0F90">
              <w:rPr>
                <w:lang w:val="en-US"/>
              </w:rPr>
              <w:t>Based on these values, the follow</w:t>
            </w:r>
            <w:r w:rsidR="00593758" w:rsidRPr="006C0F90">
              <w:rPr>
                <w:lang w:val="en-US"/>
              </w:rPr>
              <w:t>ing activity data is calculated</w:t>
            </w:r>
            <w:r w:rsidR="00DA7A96" w:rsidRPr="006C0F90">
              <w:rPr>
                <w:lang w:val="en-US"/>
              </w:rPr>
              <w:t xml:space="preserve"> for the entire harvesting area</w:t>
            </w:r>
            <w:r w:rsidR="00307535">
              <w:rPr>
                <w:lang w:val="en-US"/>
              </w:rPr>
              <w:t xml:space="preserve"> (10,000 ha)</w:t>
            </w:r>
            <w:r w:rsidR="00AE63D2" w:rsidRPr="006C0F90">
              <w:rPr>
                <w:lang w:val="en-US"/>
              </w:rPr>
              <w:t>. Values in brackets show the benchmark activity data.</w:t>
            </w:r>
          </w:p>
          <w:p w:rsidR="00AD417B" w:rsidRPr="006C0F90" w:rsidRDefault="00AD417B" w:rsidP="00AD417B">
            <w:pPr>
              <w:pStyle w:val="NoSpacing"/>
              <w:numPr>
                <w:ilvl w:val="0"/>
                <w:numId w:val="12"/>
              </w:numPr>
              <w:rPr>
                <w:lang w:val="en-US"/>
              </w:rPr>
            </w:pPr>
            <w:r w:rsidRPr="006C0F90">
              <w:rPr>
                <w:lang w:val="en-US"/>
              </w:rPr>
              <w:t xml:space="preserve">Area principal roads: </w:t>
            </w:r>
            <w:r w:rsidR="00DA7A96" w:rsidRPr="006C0F90">
              <w:rPr>
                <w:lang w:val="en-US"/>
              </w:rPr>
              <w:t>17 ha</w:t>
            </w:r>
            <w:r w:rsidR="00AE63D2" w:rsidRPr="006C0F90">
              <w:rPr>
                <w:lang w:val="en-US"/>
              </w:rPr>
              <w:t xml:space="preserve"> (48)</w:t>
            </w:r>
          </w:p>
          <w:p w:rsidR="00AD417B" w:rsidRPr="006C0F90" w:rsidRDefault="00AD417B" w:rsidP="00AD417B">
            <w:pPr>
              <w:pStyle w:val="NoSpacing"/>
              <w:numPr>
                <w:ilvl w:val="0"/>
                <w:numId w:val="12"/>
              </w:numPr>
              <w:rPr>
                <w:lang w:val="en-US"/>
              </w:rPr>
            </w:pPr>
            <w:r w:rsidRPr="006C0F90">
              <w:rPr>
                <w:lang w:val="en-US"/>
              </w:rPr>
              <w:t>Area solar strip principal roads</w:t>
            </w:r>
            <w:r w:rsidR="00B13745" w:rsidRPr="006C0F90">
              <w:rPr>
                <w:lang w:val="en-US"/>
              </w:rPr>
              <w:t>:</w:t>
            </w:r>
            <w:r w:rsidR="00AE63D2" w:rsidRPr="006C0F90">
              <w:rPr>
                <w:lang w:val="en-US"/>
              </w:rPr>
              <w:t xml:space="preserve"> 60 ha (180)</w:t>
            </w:r>
          </w:p>
          <w:p w:rsidR="00AD417B" w:rsidRPr="006C0F90" w:rsidRDefault="00AD417B" w:rsidP="00AD417B">
            <w:pPr>
              <w:pStyle w:val="NoSpacing"/>
              <w:numPr>
                <w:ilvl w:val="0"/>
                <w:numId w:val="12"/>
              </w:numPr>
              <w:rPr>
                <w:lang w:val="en-US"/>
              </w:rPr>
            </w:pPr>
            <w:r w:rsidRPr="006C0F90">
              <w:rPr>
                <w:lang w:val="en-US"/>
              </w:rPr>
              <w:t>Area of secondary roads</w:t>
            </w:r>
            <w:r w:rsidR="00B13745" w:rsidRPr="006C0F90">
              <w:rPr>
                <w:lang w:val="en-US"/>
              </w:rPr>
              <w:t>:</w:t>
            </w:r>
            <w:r w:rsidR="00AE63D2" w:rsidRPr="006C0F90">
              <w:rPr>
                <w:lang w:val="en-US"/>
              </w:rPr>
              <w:t xml:space="preserve"> 15 ha (48)</w:t>
            </w:r>
          </w:p>
          <w:p w:rsidR="00AD417B" w:rsidRPr="006C0F90" w:rsidRDefault="00AD417B" w:rsidP="00AD417B">
            <w:pPr>
              <w:pStyle w:val="NoSpacing"/>
              <w:numPr>
                <w:ilvl w:val="0"/>
                <w:numId w:val="12"/>
              </w:numPr>
              <w:rPr>
                <w:lang w:val="en-US"/>
              </w:rPr>
            </w:pPr>
            <w:r w:rsidRPr="006C0F90">
              <w:rPr>
                <w:lang w:val="en-US"/>
              </w:rPr>
              <w:t>Area solar strip secondary roads</w:t>
            </w:r>
            <w:r w:rsidR="00AE63D2" w:rsidRPr="006C0F90">
              <w:rPr>
                <w:lang w:val="en-US"/>
              </w:rPr>
              <w:t>: 36 ha (120)</w:t>
            </w:r>
          </w:p>
          <w:p w:rsidR="00AD417B" w:rsidRPr="006C0F90" w:rsidRDefault="00AD417B" w:rsidP="00AD417B">
            <w:pPr>
              <w:pStyle w:val="NoSpacing"/>
              <w:numPr>
                <w:ilvl w:val="0"/>
                <w:numId w:val="12"/>
              </w:numPr>
              <w:rPr>
                <w:lang w:val="en-US"/>
              </w:rPr>
            </w:pPr>
            <w:r w:rsidRPr="006C0F90">
              <w:rPr>
                <w:lang w:val="en-US"/>
              </w:rPr>
              <w:t xml:space="preserve">Area </w:t>
            </w:r>
            <w:proofErr w:type="spellStart"/>
            <w:r w:rsidRPr="006C0F90">
              <w:rPr>
                <w:lang w:val="en-US"/>
              </w:rPr>
              <w:t>skidtrails</w:t>
            </w:r>
            <w:proofErr w:type="spellEnd"/>
            <w:r w:rsidR="00B13745" w:rsidRPr="006C0F90">
              <w:rPr>
                <w:lang w:val="en-US"/>
              </w:rPr>
              <w:t>:</w:t>
            </w:r>
            <w:r w:rsidR="00AE63D2" w:rsidRPr="006C0F90">
              <w:rPr>
                <w:lang w:val="en-US"/>
              </w:rPr>
              <w:t xml:space="preserve"> 240 ha (340)</w:t>
            </w:r>
          </w:p>
          <w:p w:rsidR="001248A4" w:rsidRPr="006C0F90" w:rsidRDefault="00AD417B" w:rsidP="00B13745">
            <w:pPr>
              <w:pStyle w:val="NoSpacing"/>
              <w:numPr>
                <w:ilvl w:val="0"/>
                <w:numId w:val="12"/>
              </w:numPr>
              <w:rPr>
                <w:lang w:val="en-US"/>
              </w:rPr>
            </w:pPr>
            <w:r w:rsidRPr="006C0F90">
              <w:rPr>
                <w:lang w:val="en-US"/>
              </w:rPr>
              <w:t>Area log landings</w:t>
            </w:r>
            <w:r w:rsidR="00B13745" w:rsidRPr="006C0F90">
              <w:rPr>
                <w:lang w:val="en-US"/>
              </w:rPr>
              <w:t>:</w:t>
            </w:r>
            <w:r w:rsidR="00AE63D2" w:rsidRPr="006C0F90">
              <w:rPr>
                <w:lang w:val="en-US"/>
              </w:rPr>
              <w:t xml:space="preserve"> 30 ha (60)</w:t>
            </w:r>
          </w:p>
          <w:p w:rsidR="001248A4" w:rsidRPr="006C0F90" w:rsidRDefault="001248A4" w:rsidP="00814B9A">
            <w:pPr>
              <w:jc w:val="both"/>
              <w:rPr>
                <w:lang w:val="en-US"/>
              </w:rPr>
            </w:pPr>
          </w:p>
          <w:p w:rsidR="002C0F5D" w:rsidRPr="006C0F90" w:rsidRDefault="001248A4" w:rsidP="00814B9A">
            <w:pPr>
              <w:jc w:val="both"/>
              <w:rPr>
                <w:lang w:val="en-US"/>
              </w:rPr>
            </w:pPr>
            <w:r w:rsidRPr="006C0F90">
              <w:rPr>
                <w:lang w:val="en-US"/>
              </w:rPr>
              <w:t>To arr</w:t>
            </w:r>
            <w:r w:rsidR="00B13745" w:rsidRPr="006C0F90">
              <w:rPr>
                <w:lang w:val="en-US"/>
              </w:rPr>
              <w:t xml:space="preserve">ive at emission estimates, this activity data is </w:t>
            </w:r>
            <w:r w:rsidRPr="006C0F90">
              <w:rPr>
                <w:lang w:val="en-US"/>
              </w:rPr>
              <w:t>multiplied with the following emission factors:</w:t>
            </w:r>
          </w:p>
          <w:p w:rsidR="002C0F5D" w:rsidRPr="006C0F90" w:rsidRDefault="00B13745" w:rsidP="001248A4">
            <w:pPr>
              <w:pStyle w:val="ListParagraph"/>
              <w:numPr>
                <w:ilvl w:val="0"/>
                <w:numId w:val="10"/>
              </w:numPr>
              <w:jc w:val="both"/>
              <w:rPr>
                <w:lang w:val="en-US"/>
              </w:rPr>
            </w:pPr>
            <w:r w:rsidRPr="006C0F90">
              <w:rPr>
                <w:lang w:val="en-US"/>
              </w:rPr>
              <w:t xml:space="preserve">For principal and secondary roads and log landings: Total AGB+BGB loss based on the </w:t>
            </w:r>
            <w:r w:rsidR="00454C4B">
              <w:rPr>
                <w:lang w:val="en-US"/>
              </w:rPr>
              <w:t>national biomass map. Either an</w:t>
            </w:r>
            <w:r w:rsidRPr="006C0F90">
              <w:rPr>
                <w:lang w:val="en-US"/>
              </w:rPr>
              <w:t xml:space="preserve"> AAC or concession based </w:t>
            </w:r>
            <w:r w:rsidR="00454C4B">
              <w:rPr>
                <w:lang w:val="en-US"/>
              </w:rPr>
              <w:t>mean</w:t>
            </w:r>
            <w:r w:rsidRPr="006C0F90">
              <w:rPr>
                <w:lang w:val="en-US"/>
              </w:rPr>
              <w:t xml:space="preserve"> value</w:t>
            </w:r>
            <w:r w:rsidR="00454C4B">
              <w:rPr>
                <w:lang w:val="en-US"/>
              </w:rPr>
              <w:t>.</w:t>
            </w:r>
          </w:p>
          <w:p w:rsidR="00B13745" w:rsidRPr="006C0F90" w:rsidRDefault="00B13745" w:rsidP="001248A4">
            <w:pPr>
              <w:pStyle w:val="ListParagraph"/>
              <w:numPr>
                <w:ilvl w:val="0"/>
                <w:numId w:val="10"/>
              </w:numPr>
              <w:jc w:val="both"/>
              <w:rPr>
                <w:lang w:val="en-US"/>
              </w:rPr>
            </w:pPr>
            <w:r w:rsidRPr="006C0F90">
              <w:rPr>
                <w:lang w:val="en-US"/>
              </w:rPr>
              <w:t>For solar strips: Based on biomass inventor</w:t>
            </w:r>
            <w:r w:rsidR="008C4D2E" w:rsidRPr="006C0F90">
              <w:rPr>
                <w:lang w:val="en-US"/>
              </w:rPr>
              <w:t>ies from Hirsh et al. (2013) and WWF/GFA/SODEFOR 2017 (unpublished)</w:t>
            </w:r>
          </w:p>
          <w:p w:rsidR="008C4D2E" w:rsidRPr="006C0F90" w:rsidRDefault="008C4D2E" w:rsidP="008C4D2E">
            <w:pPr>
              <w:pStyle w:val="ListParagraph"/>
              <w:numPr>
                <w:ilvl w:val="0"/>
                <w:numId w:val="10"/>
              </w:numPr>
              <w:jc w:val="both"/>
              <w:rPr>
                <w:lang w:val="en-US"/>
              </w:rPr>
            </w:pPr>
            <w:r w:rsidRPr="006C0F90">
              <w:rPr>
                <w:lang w:val="en-US"/>
              </w:rPr>
              <w:t xml:space="preserve">For </w:t>
            </w:r>
            <w:r w:rsidR="006C0619" w:rsidRPr="006C0F90">
              <w:rPr>
                <w:lang w:val="en-US"/>
              </w:rPr>
              <w:t>skid trails</w:t>
            </w:r>
            <w:r w:rsidRPr="006C0F90">
              <w:rPr>
                <w:lang w:val="en-US"/>
              </w:rPr>
              <w:t>: Based on biomass inventories from Hirsh et al. (2013), GFA 2014 (unpublished) and WWF/GFA/SODEFOR 2017 (unpublished)</w:t>
            </w:r>
          </w:p>
          <w:p w:rsidR="008C4D2E" w:rsidRPr="006C0F90" w:rsidRDefault="008C4D2E" w:rsidP="008C4D2E">
            <w:pPr>
              <w:jc w:val="both"/>
              <w:rPr>
                <w:lang w:val="en-US"/>
              </w:rPr>
            </w:pPr>
          </w:p>
          <w:p w:rsidR="008C4D2E" w:rsidRDefault="008C4D2E" w:rsidP="008C4D2E">
            <w:pPr>
              <w:jc w:val="both"/>
              <w:rPr>
                <w:lang w:val="en-US"/>
              </w:rPr>
            </w:pPr>
            <w:r w:rsidRPr="006C0F90">
              <w:rPr>
                <w:lang w:val="en-US"/>
              </w:rPr>
              <w:t>These emission factors are provided in Annex 1 to this proposal. General emission factors for roads and log landings do not exist as they would be calculated for each concession or AAC separately.</w:t>
            </w:r>
          </w:p>
          <w:p w:rsidR="00C96A84" w:rsidRDefault="00C96A84" w:rsidP="008C4D2E">
            <w:pPr>
              <w:jc w:val="both"/>
              <w:rPr>
                <w:lang w:val="en-US"/>
              </w:rPr>
            </w:pPr>
          </w:p>
          <w:p w:rsidR="00C96A84" w:rsidRDefault="00C96A84" w:rsidP="00A27FE2">
            <w:pPr>
              <w:jc w:val="both"/>
              <w:rPr>
                <w:lang w:val="en-US"/>
              </w:rPr>
            </w:pPr>
            <w:r>
              <w:rPr>
                <w:lang w:val="en-US"/>
              </w:rPr>
              <w:t>Then, de</w:t>
            </w:r>
            <w:r w:rsidR="00A27FE2">
              <w:rPr>
                <w:lang w:val="en-US"/>
              </w:rPr>
              <w:t>ducting P</w:t>
            </w:r>
            <w:r>
              <w:rPr>
                <w:lang w:val="en-US"/>
              </w:rPr>
              <w:t>rogram emissions from benchmark emissions, the emission reductions are calc</w:t>
            </w:r>
            <w:r w:rsidR="007E1C90">
              <w:rPr>
                <w:lang w:val="en-US"/>
              </w:rPr>
              <w:t xml:space="preserve">ulated. Since the harvesting area has been closed and </w:t>
            </w:r>
            <w:r w:rsidR="00A27FE2">
              <w:rPr>
                <w:lang w:val="en-US"/>
              </w:rPr>
              <w:t xml:space="preserve">RIL </w:t>
            </w:r>
            <w:r w:rsidR="007E1C90">
              <w:rPr>
                <w:lang w:val="en-US"/>
              </w:rPr>
              <w:t>does not entail a reduction in harvested volume, no deductions for leakage and non-permanence are foreseen.</w:t>
            </w:r>
          </w:p>
          <w:p w:rsidR="007B498E" w:rsidRDefault="007B498E" w:rsidP="00A27FE2">
            <w:pPr>
              <w:jc w:val="both"/>
              <w:rPr>
                <w:lang w:val="en-US"/>
              </w:rPr>
            </w:pPr>
          </w:p>
          <w:p w:rsidR="007B498E" w:rsidRPr="008C4D2E" w:rsidRDefault="007B498E" w:rsidP="00A27FE2">
            <w:pPr>
              <w:jc w:val="both"/>
              <w:rPr>
                <w:lang w:val="en-US"/>
              </w:rPr>
            </w:pPr>
            <w:r>
              <w:rPr>
                <w:lang w:val="en-US"/>
              </w:rPr>
              <w:t>Based on the proposed benchmark values and preliminary results from</w:t>
            </w:r>
            <w:r w:rsidR="006A77DB">
              <w:rPr>
                <w:lang w:val="en-US"/>
              </w:rPr>
              <w:t xml:space="preserve"> RIL pilot implementation in Mai-Ndombe, we estimate the emission reduction potential at approx. 10 tCO2 per ha of exploited area. In this example, this would result </w:t>
            </w:r>
            <w:r w:rsidR="003B153C">
              <w:rPr>
                <w:lang w:val="en-US"/>
              </w:rPr>
              <w:t>in 100,000 tCO2 of emission reductions during the period of the ERPA, which would mean a gross revenue for the company of USD 500,000</w:t>
            </w:r>
            <w:r w:rsidR="008422C3">
              <w:rPr>
                <w:lang w:val="en-US"/>
              </w:rPr>
              <w:t>, paid on result as “PES proxy”</w:t>
            </w:r>
            <w:r w:rsidR="003B153C">
              <w:rPr>
                <w:lang w:val="en-US"/>
              </w:rPr>
              <w:t>.</w:t>
            </w:r>
          </w:p>
        </w:tc>
      </w:tr>
    </w:tbl>
    <w:p w:rsidR="00435D79" w:rsidRDefault="00435D79" w:rsidP="00814B9A">
      <w:pPr>
        <w:jc w:val="both"/>
        <w:rPr>
          <w:lang w:val="en-US"/>
        </w:rPr>
      </w:pPr>
    </w:p>
    <w:p w:rsidR="00814B9A" w:rsidRPr="005C73A4" w:rsidRDefault="007D4F9B" w:rsidP="00814B9A">
      <w:pPr>
        <w:jc w:val="both"/>
        <w:rPr>
          <w:b/>
          <w:sz w:val="24"/>
          <w:szCs w:val="24"/>
          <w:lang w:val="en-US"/>
        </w:rPr>
      </w:pPr>
      <w:r w:rsidRPr="005C73A4">
        <w:rPr>
          <w:b/>
          <w:sz w:val="24"/>
          <w:szCs w:val="24"/>
          <w:lang w:val="en-US"/>
        </w:rPr>
        <w:t>Participation requirements</w:t>
      </w:r>
    </w:p>
    <w:p w:rsidR="004749B8" w:rsidRDefault="008D2C78" w:rsidP="00004245">
      <w:pPr>
        <w:jc w:val="both"/>
        <w:rPr>
          <w:lang w:val="en-US"/>
        </w:rPr>
      </w:pPr>
      <w:r>
        <w:rPr>
          <w:lang w:val="en-US"/>
        </w:rPr>
        <w:t xml:space="preserve">As stipulated in the </w:t>
      </w:r>
      <w:r w:rsidRPr="00FB7BBD">
        <w:rPr>
          <w:lang w:val="en-US"/>
        </w:rPr>
        <w:t>ER</w:t>
      </w:r>
      <w:r w:rsidR="006F40BC" w:rsidRPr="00FB7BBD">
        <w:rPr>
          <w:lang w:val="en-US"/>
        </w:rPr>
        <w:t xml:space="preserve">PD </w:t>
      </w:r>
      <w:r w:rsidRPr="00FB7BBD">
        <w:rPr>
          <w:lang w:val="en-US"/>
        </w:rPr>
        <w:t>(Annex 7</w:t>
      </w:r>
      <w:r w:rsidR="006F40BC" w:rsidRPr="00FB7BBD">
        <w:rPr>
          <w:lang w:val="en-US"/>
        </w:rPr>
        <w:t>), any</w:t>
      </w:r>
      <w:r w:rsidR="006F40BC">
        <w:rPr>
          <w:lang w:val="en-US"/>
        </w:rPr>
        <w:t xml:space="preserve"> forestry </w:t>
      </w:r>
      <w:r w:rsidR="00BF696C">
        <w:rPr>
          <w:lang w:val="en-US"/>
        </w:rPr>
        <w:t>concession</w:t>
      </w:r>
      <w:r w:rsidR="004749B8">
        <w:rPr>
          <w:lang w:val="en-US"/>
        </w:rPr>
        <w:t xml:space="preserve"> company</w:t>
      </w:r>
      <w:r w:rsidR="006F40BC">
        <w:rPr>
          <w:lang w:val="en-US"/>
        </w:rPr>
        <w:t xml:space="preserve"> that wish</w:t>
      </w:r>
      <w:r w:rsidR="004749B8">
        <w:rPr>
          <w:lang w:val="en-US"/>
        </w:rPr>
        <w:t>es</w:t>
      </w:r>
      <w:r w:rsidR="00BF696C">
        <w:rPr>
          <w:lang w:val="en-US"/>
        </w:rPr>
        <w:t xml:space="preserve"> to engage with the ER-Program need to demonstrate </w:t>
      </w:r>
      <w:r>
        <w:rPr>
          <w:lang w:val="en-US"/>
        </w:rPr>
        <w:t>compliance with national forestry law and regulations</w:t>
      </w:r>
      <w:r w:rsidR="008422C3">
        <w:rPr>
          <w:lang w:val="en-US"/>
        </w:rPr>
        <w:t xml:space="preserve"> </w:t>
      </w:r>
      <w:r w:rsidR="00004245">
        <w:rPr>
          <w:lang w:val="en-US"/>
        </w:rPr>
        <w:t>as well as with the ER-Program.</w:t>
      </w:r>
    </w:p>
    <w:p w:rsidR="00004245" w:rsidRPr="00004245" w:rsidRDefault="00004245" w:rsidP="00004245">
      <w:pPr>
        <w:jc w:val="both"/>
        <w:rPr>
          <w:i/>
          <w:lang w:val="en-US"/>
        </w:rPr>
      </w:pPr>
      <w:r>
        <w:rPr>
          <w:i/>
          <w:lang w:val="en-US"/>
        </w:rPr>
        <w:t>[E</w:t>
      </w:r>
      <w:r w:rsidRPr="00004245">
        <w:rPr>
          <w:i/>
          <w:lang w:val="en-US"/>
        </w:rPr>
        <w:t>xcerpt from Annex 7 in the ER-PD]</w:t>
      </w:r>
    </w:p>
    <w:p w:rsidR="008903D1" w:rsidRPr="008903D1" w:rsidRDefault="004749B8" w:rsidP="004749B8">
      <w:pPr>
        <w:jc w:val="both"/>
        <w:rPr>
          <w:lang w:val="en-US"/>
        </w:rPr>
      </w:pPr>
      <w:r>
        <w:rPr>
          <w:lang w:val="en-US"/>
        </w:rPr>
        <w:t>To this end, a "</w:t>
      </w:r>
      <w:r w:rsidR="008903D1" w:rsidRPr="008903D1">
        <w:rPr>
          <w:b/>
          <w:lang w:val="en-US"/>
        </w:rPr>
        <w:t>REDD+ compliance standard</w:t>
      </w:r>
      <w:r>
        <w:rPr>
          <w:b/>
          <w:lang w:val="en-US"/>
        </w:rPr>
        <w:t>"</w:t>
      </w:r>
      <w:r w:rsidR="008903D1" w:rsidRPr="008903D1">
        <w:rPr>
          <w:lang w:val="en-US"/>
        </w:rPr>
        <w:t xml:space="preserve"> for logging concessions has been elaborated by the ER program technical Secretariat, in cooperation with logging companies and with technical support from the European Forest Institute (EFI) and the consultancy </w:t>
      </w:r>
      <w:proofErr w:type="spellStart"/>
      <w:r w:rsidR="008903D1" w:rsidRPr="008903D1">
        <w:rPr>
          <w:lang w:val="en-US"/>
        </w:rPr>
        <w:t>FRMi</w:t>
      </w:r>
      <w:proofErr w:type="spellEnd"/>
      <w:r w:rsidR="008903D1" w:rsidRPr="008903D1">
        <w:rPr>
          <w:lang w:val="en-US"/>
        </w:rPr>
        <w:t xml:space="preserve">. The standard was elaborated through cross-referencing DRC’s legal framework with REDD+ objectives. This standard provides a </w:t>
      </w:r>
      <w:r w:rsidR="008903D1" w:rsidRPr="008903D1">
        <w:rPr>
          <w:b/>
          <w:lang w:val="en-US"/>
        </w:rPr>
        <w:t>simple and non-exhaustive</w:t>
      </w:r>
      <w:r w:rsidR="008903D1" w:rsidRPr="008903D1">
        <w:rPr>
          <w:lang w:val="en-US"/>
        </w:rPr>
        <w:t xml:space="preserve"> framework aimed at informing about the state of play of concessions’ compliance with selected legal provisions most relevant for REDD+, i.e. provisions which have a direct impact </w:t>
      </w:r>
      <w:proofErr w:type="gramStart"/>
      <w:r w:rsidR="008903D1" w:rsidRPr="008903D1">
        <w:rPr>
          <w:lang w:val="en-US"/>
        </w:rPr>
        <w:t>on :</w:t>
      </w:r>
      <w:proofErr w:type="gramEnd"/>
    </w:p>
    <w:p w:rsidR="008903D1" w:rsidRPr="008903D1" w:rsidRDefault="008903D1" w:rsidP="004749B8">
      <w:pPr>
        <w:jc w:val="both"/>
        <w:rPr>
          <w:lang w:val="en-US"/>
        </w:rPr>
      </w:pPr>
      <w:r w:rsidRPr="008903D1">
        <w:rPr>
          <w:lang w:val="en-US"/>
        </w:rPr>
        <w:lastRenderedPageBreak/>
        <w:t xml:space="preserve">1) GHG emissions and the environmental integrity of the reference scenario, and </w:t>
      </w:r>
    </w:p>
    <w:p w:rsidR="008903D1" w:rsidRPr="008903D1" w:rsidRDefault="008903D1" w:rsidP="004749B8">
      <w:pPr>
        <w:jc w:val="both"/>
        <w:rPr>
          <w:lang w:val="en-US"/>
        </w:rPr>
      </w:pPr>
      <w:r w:rsidRPr="008903D1">
        <w:rPr>
          <w:lang w:val="en-US"/>
        </w:rPr>
        <w:t xml:space="preserve">2) </w:t>
      </w:r>
      <w:r w:rsidR="008422C3" w:rsidRPr="008903D1">
        <w:rPr>
          <w:lang w:val="en-US"/>
        </w:rPr>
        <w:t>Compliance</w:t>
      </w:r>
      <w:r w:rsidRPr="008903D1">
        <w:rPr>
          <w:lang w:val="en-US"/>
        </w:rPr>
        <w:t xml:space="preserve"> with REDD+ environmental and social safeguards.</w:t>
      </w:r>
    </w:p>
    <w:p w:rsidR="008903D1" w:rsidRPr="00733CA1" w:rsidRDefault="008903D1" w:rsidP="004749B8">
      <w:pPr>
        <w:jc w:val="both"/>
        <w:rPr>
          <w:lang w:val="en-AU"/>
        </w:rPr>
      </w:pPr>
      <w:r>
        <w:rPr>
          <w:lang w:val="en-AU"/>
        </w:rPr>
        <w:t>The REDD+ compliance</w:t>
      </w:r>
      <w:r w:rsidRPr="00733CA1">
        <w:rPr>
          <w:lang w:val="en-AU"/>
        </w:rPr>
        <w:t xml:space="preserve"> standard is based on </w:t>
      </w:r>
      <w:r w:rsidRPr="00826981">
        <w:rPr>
          <w:b/>
          <w:lang w:val="en-AU"/>
        </w:rPr>
        <w:t>3 principles</w:t>
      </w:r>
      <w:r>
        <w:rPr>
          <w:lang w:val="en-AU"/>
        </w:rPr>
        <w:t>:</w:t>
      </w:r>
    </w:p>
    <w:p w:rsidR="008903D1" w:rsidRPr="00092F26" w:rsidRDefault="008903D1" w:rsidP="00092F26">
      <w:pPr>
        <w:pStyle w:val="ListParagraph"/>
        <w:numPr>
          <w:ilvl w:val="0"/>
          <w:numId w:val="8"/>
        </w:numPr>
        <w:jc w:val="both"/>
        <w:rPr>
          <w:lang w:val="en-US"/>
        </w:rPr>
      </w:pPr>
      <w:r w:rsidRPr="00092F26">
        <w:rPr>
          <w:lang w:val="en-US"/>
        </w:rPr>
        <w:t>Principle 1: forest concessionaires engaged in REDD+ projects or initiatives must be legally established in the DRC and hold the rights of access to the forest resources they value.</w:t>
      </w:r>
    </w:p>
    <w:p w:rsidR="008903D1" w:rsidRPr="00092F26" w:rsidRDefault="008903D1" w:rsidP="00092F26">
      <w:pPr>
        <w:pStyle w:val="ListParagraph"/>
        <w:numPr>
          <w:ilvl w:val="0"/>
          <w:numId w:val="8"/>
        </w:numPr>
        <w:jc w:val="both"/>
        <w:rPr>
          <w:lang w:val="en-US"/>
        </w:rPr>
      </w:pPr>
      <w:r w:rsidRPr="00092F26">
        <w:rPr>
          <w:lang w:val="en-US"/>
        </w:rPr>
        <w:t>Principle 2: forest concessionaires engaged in REDD+ projects or initiatives must demonstrate their commitment to sustainable forest management, promote environmental services, including through limiting the impact of logging operations on forest cover and enhance the preservation of biodiversity.</w:t>
      </w:r>
    </w:p>
    <w:p w:rsidR="008903D1" w:rsidRPr="00092F26" w:rsidRDefault="008903D1" w:rsidP="00092F26">
      <w:pPr>
        <w:pStyle w:val="ListParagraph"/>
        <w:numPr>
          <w:ilvl w:val="0"/>
          <w:numId w:val="8"/>
        </w:numPr>
        <w:jc w:val="both"/>
        <w:rPr>
          <w:lang w:val="en-US"/>
        </w:rPr>
      </w:pPr>
      <w:r w:rsidRPr="00092F26">
        <w:rPr>
          <w:lang w:val="en-US"/>
        </w:rPr>
        <w:t>Principle 3: forest concessionaires engaged in REDD+ projects or initiatives must ensure that the rights of local communities and workers are respected.</w:t>
      </w:r>
    </w:p>
    <w:p w:rsidR="008903D1" w:rsidRPr="008903D1" w:rsidRDefault="008903D1" w:rsidP="004749B8">
      <w:pPr>
        <w:jc w:val="both"/>
        <w:rPr>
          <w:lang w:val="en-US"/>
        </w:rPr>
      </w:pPr>
      <w:r w:rsidRPr="008903D1">
        <w:rPr>
          <w:lang w:val="en-US"/>
        </w:rPr>
        <w:t xml:space="preserve">These 3 principles are divided into 11 indicators and 23 </w:t>
      </w:r>
      <w:r w:rsidR="006C0619" w:rsidRPr="008903D1">
        <w:rPr>
          <w:lang w:val="en-US"/>
        </w:rPr>
        <w:t>verifiers. The</w:t>
      </w:r>
      <w:r w:rsidRPr="008903D1">
        <w:rPr>
          <w:lang w:val="en-US"/>
        </w:rPr>
        <w:t xml:space="preserve"> majority of verifiers are documentary, in order to allow for a yearly monitoring with limited </w:t>
      </w:r>
      <w:r w:rsidR="006C0619" w:rsidRPr="008903D1">
        <w:rPr>
          <w:lang w:val="en-US"/>
        </w:rPr>
        <w:t>resources. A</w:t>
      </w:r>
      <w:r w:rsidRPr="008903D1">
        <w:rPr>
          <w:lang w:val="en-US"/>
        </w:rPr>
        <w:t xml:space="preserve"> simple scoring system enables to assess the global performance of a concession with regard to the standard.</w:t>
      </w:r>
    </w:p>
    <w:p w:rsidR="006B5AF1" w:rsidRPr="005C73A4" w:rsidRDefault="006B5AF1">
      <w:pPr>
        <w:rPr>
          <w:b/>
          <w:sz w:val="24"/>
          <w:szCs w:val="24"/>
          <w:lang w:val="en-US"/>
        </w:rPr>
      </w:pPr>
      <w:r w:rsidRPr="005C73A4">
        <w:rPr>
          <w:b/>
          <w:sz w:val="24"/>
          <w:szCs w:val="24"/>
          <w:lang w:val="en-US"/>
        </w:rPr>
        <w:t xml:space="preserve">Contractual </w:t>
      </w:r>
      <w:r w:rsidR="004749B8" w:rsidRPr="005C73A4">
        <w:rPr>
          <w:b/>
          <w:sz w:val="24"/>
          <w:szCs w:val="24"/>
          <w:lang w:val="en-US"/>
        </w:rPr>
        <w:t>issues</w:t>
      </w:r>
    </w:p>
    <w:p w:rsidR="004749B8" w:rsidRDefault="004749B8">
      <w:pPr>
        <w:rPr>
          <w:lang w:val="en-US"/>
        </w:rPr>
      </w:pPr>
      <w:r>
        <w:rPr>
          <w:lang w:val="en-US"/>
        </w:rPr>
        <w:t>It is assumed that</w:t>
      </w:r>
      <w:r w:rsidR="008422C3">
        <w:rPr>
          <w:lang w:val="en-US"/>
        </w:rPr>
        <w:t xml:space="preserve"> </w:t>
      </w:r>
      <w:r>
        <w:rPr>
          <w:lang w:val="en-US"/>
        </w:rPr>
        <w:t xml:space="preserve">the ER-Program and any forestry concession company </w:t>
      </w:r>
      <w:r w:rsidR="00312529">
        <w:rPr>
          <w:lang w:val="en-US"/>
        </w:rPr>
        <w:t xml:space="preserve">undertaking RIL activities </w:t>
      </w:r>
      <w:r>
        <w:rPr>
          <w:lang w:val="en-US"/>
        </w:rPr>
        <w:t>would enter into a contractual relationship.</w:t>
      </w:r>
      <w:r w:rsidR="008422C3">
        <w:rPr>
          <w:lang w:val="en-US"/>
        </w:rPr>
        <w:t xml:space="preserve"> </w:t>
      </w:r>
      <w:r w:rsidR="00901BFC">
        <w:rPr>
          <w:lang w:val="en-US"/>
        </w:rPr>
        <w:t>Important issues to be considered in the contract would be:</w:t>
      </w:r>
    </w:p>
    <w:p w:rsidR="00312529" w:rsidRDefault="00312529" w:rsidP="00901BFC">
      <w:pPr>
        <w:pStyle w:val="ListParagraph"/>
        <w:numPr>
          <w:ilvl w:val="0"/>
          <w:numId w:val="7"/>
        </w:numPr>
        <w:rPr>
          <w:lang w:val="en-US"/>
        </w:rPr>
      </w:pPr>
      <w:r>
        <w:rPr>
          <w:lang w:val="en-US"/>
        </w:rPr>
        <w:t>All necessary documentation as well as all concession areas must be made accessible upon request by the ER-Program to allow for the validation of the participation requirements</w:t>
      </w:r>
    </w:p>
    <w:p w:rsidR="00901BFC" w:rsidRDefault="00901BFC" w:rsidP="00901BFC">
      <w:pPr>
        <w:pStyle w:val="ListParagraph"/>
        <w:numPr>
          <w:ilvl w:val="0"/>
          <w:numId w:val="7"/>
        </w:numPr>
        <w:rPr>
          <w:lang w:val="en-US"/>
        </w:rPr>
      </w:pPr>
      <w:r>
        <w:rPr>
          <w:lang w:val="en-US"/>
        </w:rPr>
        <w:t>Areas for which payments for RIL are claimed must be made fully accessible to the ER-Program for ver</w:t>
      </w:r>
      <w:r w:rsidR="00814893">
        <w:rPr>
          <w:lang w:val="en-US"/>
        </w:rPr>
        <w:t>ification of monitoring results.</w:t>
      </w:r>
    </w:p>
    <w:p w:rsidR="00814893" w:rsidRDefault="00901BFC" w:rsidP="00814893">
      <w:pPr>
        <w:pStyle w:val="ListParagraph"/>
        <w:numPr>
          <w:ilvl w:val="0"/>
          <w:numId w:val="7"/>
        </w:numPr>
        <w:rPr>
          <w:lang w:val="en-US"/>
        </w:rPr>
      </w:pPr>
      <w:r>
        <w:rPr>
          <w:lang w:val="en-US"/>
        </w:rPr>
        <w:t>Payments for RIL can only be made for AAC which are officially "closed" to ensure that emissions won't increase through additional harvesting</w:t>
      </w:r>
      <w:r w:rsidR="00220040">
        <w:rPr>
          <w:lang w:val="en-US"/>
        </w:rPr>
        <w:t xml:space="preserve"> in the area</w:t>
      </w:r>
      <w:r>
        <w:rPr>
          <w:lang w:val="en-US"/>
        </w:rPr>
        <w:t xml:space="preserve"> after </w:t>
      </w:r>
      <w:r w:rsidR="00092F26">
        <w:rPr>
          <w:lang w:val="en-US"/>
        </w:rPr>
        <w:t>monitoring.</w:t>
      </w:r>
    </w:p>
    <w:p w:rsidR="00543389" w:rsidRDefault="00543389" w:rsidP="00814893">
      <w:pPr>
        <w:pStyle w:val="ListParagraph"/>
        <w:numPr>
          <w:ilvl w:val="0"/>
          <w:numId w:val="7"/>
        </w:numPr>
        <w:rPr>
          <w:lang w:val="en-US"/>
        </w:rPr>
      </w:pPr>
      <w:r>
        <w:rPr>
          <w:lang w:val="en-US"/>
        </w:rPr>
        <w:t xml:space="preserve">Forestry concessions, as other private sector participants, do take a financial risk when participating in the ER-Program. In the case </w:t>
      </w:r>
      <w:r w:rsidR="003D5BB3">
        <w:rPr>
          <w:lang w:val="en-US"/>
        </w:rPr>
        <w:t xml:space="preserve">where a forestry company makes an upfront investment </w:t>
      </w:r>
      <w:r>
        <w:rPr>
          <w:lang w:val="en-US"/>
        </w:rPr>
        <w:t xml:space="preserve">into reduced impact logging </w:t>
      </w:r>
      <w:r w:rsidR="003D5BB3">
        <w:rPr>
          <w:lang w:val="en-US"/>
        </w:rPr>
        <w:t>and succeeds in reducing emissions, but the ER-Program does not perform, the company would not receive any benefits despite its performance. As such it is proposed to share this risk between the ER-Program and the forestry concessionaire</w:t>
      </w:r>
      <w:r w:rsidR="008B6ABD">
        <w:rPr>
          <w:lang w:val="en-US"/>
        </w:rPr>
        <w:t xml:space="preserve"> by guaranteeing a payment equivalent to the costs of implementing RIL. These costs would need to be budgeted under the fixed costs of the ER-Program</w:t>
      </w:r>
    </w:p>
    <w:p w:rsidR="00543389" w:rsidRPr="00814893" w:rsidRDefault="008B6ABD" w:rsidP="00814893">
      <w:pPr>
        <w:pStyle w:val="ListParagraph"/>
        <w:numPr>
          <w:ilvl w:val="0"/>
          <w:numId w:val="7"/>
        </w:numPr>
        <w:rPr>
          <w:lang w:val="en-US"/>
        </w:rPr>
      </w:pPr>
      <w:r>
        <w:rPr>
          <w:lang w:val="en-US"/>
        </w:rPr>
        <w:t>In addition, the contract should foresee an exit clause that allows the concession to step back from the contract if despite</w:t>
      </w:r>
      <w:r w:rsidR="006930D2">
        <w:rPr>
          <w:lang w:val="en-US"/>
        </w:rPr>
        <w:t xml:space="preserve"> individual</w:t>
      </w:r>
      <w:r>
        <w:rPr>
          <w:lang w:val="en-US"/>
        </w:rPr>
        <w:t xml:space="preserve"> performance the ER-Program was not able </w:t>
      </w:r>
      <w:r w:rsidR="006930D2">
        <w:rPr>
          <w:lang w:val="en-US"/>
        </w:rPr>
        <w:t>to make a payment because of overall non-performance of the ER-Program.</w:t>
      </w:r>
    </w:p>
    <w:p w:rsidR="00BF696C" w:rsidRPr="005C73A4" w:rsidRDefault="00BF696C">
      <w:pPr>
        <w:rPr>
          <w:b/>
          <w:sz w:val="24"/>
          <w:szCs w:val="24"/>
          <w:lang w:val="en-US"/>
        </w:rPr>
      </w:pPr>
      <w:r w:rsidRPr="005C73A4">
        <w:rPr>
          <w:b/>
          <w:sz w:val="24"/>
          <w:szCs w:val="24"/>
          <w:lang w:val="en-US"/>
        </w:rPr>
        <w:t>Monitoring</w:t>
      </w:r>
      <w:r w:rsidR="00004245" w:rsidRPr="005C73A4">
        <w:rPr>
          <w:b/>
          <w:sz w:val="24"/>
          <w:szCs w:val="24"/>
          <w:lang w:val="en-US"/>
        </w:rPr>
        <w:t>, reporting &amp; verification</w:t>
      </w:r>
    </w:p>
    <w:p w:rsidR="00C60774" w:rsidRDefault="00004245" w:rsidP="00E61ED5">
      <w:pPr>
        <w:jc w:val="both"/>
        <w:rPr>
          <w:lang w:val="en-US"/>
        </w:rPr>
      </w:pPr>
      <w:r>
        <w:rPr>
          <w:lang w:val="en-US"/>
        </w:rPr>
        <w:t xml:space="preserve">Monitoring and reporting of the </w:t>
      </w:r>
      <w:r w:rsidR="00C60774">
        <w:rPr>
          <w:lang w:val="en-US"/>
        </w:rPr>
        <w:t>above listed proxy indicators would be the responsibility of t</w:t>
      </w:r>
      <w:r w:rsidR="00732AC1">
        <w:rPr>
          <w:lang w:val="en-US"/>
        </w:rPr>
        <w:t>he forestry concession company. As such, all monitoring and reporting costs would be borne by the concessionaire.</w:t>
      </w:r>
    </w:p>
    <w:p w:rsidR="00312DBE" w:rsidRDefault="00C60774" w:rsidP="00062E9C">
      <w:pPr>
        <w:jc w:val="both"/>
        <w:rPr>
          <w:lang w:val="en-US"/>
        </w:rPr>
      </w:pPr>
      <w:r>
        <w:rPr>
          <w:lang w:val="en-US"/>
        </w:rPr>
        <w:lastRenderedPageBreak/>
        <w:t xml:space="preserve">The measurements are relatively simple and WWF, GFA and SODEFOR have developed </w:t>
      </w:r>
      <w:r w:rsidR="00E61ED5">
        <w:rPr>
          <w:lang w:val="en-US"/>
        </w:rPr>
        <w:t>'easy-to-</w:t>
      </w:r>
      <w:proofErr w:type="spellStart"/>
      <w:r w:rsidR="00E61ED5">
        <w:rPr>
          <w:lang w:val="en-US"/>
        </w:rPr>
        <w:t>use'field</w:t>
      </w:r>
      <w:proofErr w:type="spellEnd"/>
      <w:r w:rsidR="00E61ED5">
        <w:rPr>
          <w:lang w:val="en-US"/>
        </w:rPr>
        <w:t xml:space="preserve"> </w:t>
      </w:r>
      <w:r>
        <w:rPr>
          <w:lang w:val="en-US"/>
        </w:rPr>
        <w:t>protocols that</w:t>
      </w:r>
      <w:r w:rsidR="00693478">
        <w:rPr>
          <w:lang w:val="en-US"/>
        </w:rPr>
        <w:t xml:space="preserve"> can be used </w:t>
      </w:r>
      <w:r w:rsidR="003516CE">
        <w:rPr>
          <w:lang w:val="en-US"/>
        </w:rPr>
        <w:t xml:space="preserve">as a starting </w:t>
      </w:r>
      <w:proofErr w:type="spellStart"/>
      <w:r w:rsidR="003516CE">
        <w:rPr>
          <w:lang w:val="en-US"/>
        </w:rPr>
        <w:t>point</w:t>
      </w:r>
      <w:r w:rsidR="00693478">
        <w:rPr>
          <w:lang w:val="en-US"/>
        </w:rPr>
        <w:t>by</w:t>
      </w:r>
      <w:proofErr w:type="spellEnd"/>
      <w:r w:rsidR="00693478">
        <w:rPr>
          <w:lang w:val="en-US"/>
        </w:rPr>
        <w:t xml:space="preserve"> the ER-Program. To ensure the quality of monitoring data, it would make sense for the ER-Program to offer training courses in </w:t>
      </w:r>
      <w:r w:rsidR="008162E8">
        <w:rPr>
          <w:lang w:val="en-US"/>
        </w:rPr>
        <w:t xml:space="preserve">measuring and reporting </w:t>
      </w:r>
      <w:r w:rsidR="00E61ED5">
        <w:rPr>
          <w:lang w:val="en-US"/>
        </w:rPr>
        <w:t xml:space="preserve">of </w:t>
      </w:r>
      <w:r w:rsidR="008162E8">
        <w:rPr>
          <w:lang w:val="en-US"/>
        </w:rPr>
        <w:t>the data</w:t>
      </w:r>
      <w:r w:rsidR="00E61ED5">
        <w:rPr>
          <w:lang w:val="en-US"/>
        </w:rPr>
        <w:t xml:space="preserve"> to forestry </w:t>
      </w:r>
      <w:proofErr w:type="spellStart"/>
      <w:r w:rsidR="00E61ED5">
        <w:rPr>
          <w:lang w:val="en-US"/>
        </w:rPr>
        <w:t>companies.</w:t>
      </w:r>
      <w:r w:rsidR="00E2596C">
        <w:rPr>
          <w:lang w:val="en-US"/>
        </w:rPr>
        <w:t>Table</w:t>
      </w:r>
      <w:proofErr w:type="spellEnd"/>
      <w:r w:rsidR="00E2596C">
        <w:rPr>
          <w:lang w:val="en-US"/>
        </w:rPr>
        <w:t xml:space="preserve"> 2 shows the suggested monitoring parameters and methods as well as reporting requirements and verification methods.</w:t>
      </w:r>
    </w:p>
    <w:p w:rsidR="005C43C0" w:rsidRPr="005C43C0" w:rsidRDefault="005C43C0" w:rsidP="00062E9C">
      <w:pPr>
        <w:jc w:val="both"/>
        <w:rPr>
          <w:b/>
          <w:lang w:val="en-US"/>
        </w:rPr>
      </w:pPr>
      <w:r w:rsidRPr="005C43C0">
        <w:rPr>
          <w:b/>
          <w:lang w:val="en-US"/>
        </w:rPr>
        <w:t>Table 2: Monitoring parameters</w:t>
      </w:r>
    </w:p>
    <w:tbl>
      <w:tblPr>
        <w:tblStyle w:val="MediumShading1-Accent3"/>
        <w:tblW w:w="9294" w:type="dxa"/>
        <w:tblLook w:val="04A0" w:firstRow="1" w:lastRow="0" w:firstColumn="1" w:lastColumn="0" w:noHBand="0" w:noVBand="1"/>
      </w:tblPr>
      <w:tblGrid>
        <w:gridCol w:w="1768"/>
        <w:gridCol w:w="608"/>
        <w:gridCol w:w="2652"/>
        <w:gridCol w:w="2693"/>
        <w:gridCol w:w="1573"/>
      </w:tblGrid>
      <w:tr w:rsidR="00312DBE" w:rsidRPr="00220040" w:rsidTr="00C96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312DBE" w:rsidRPr="00220040" w:rsidRDefault="00312DBE" w:rsidP="00E2596C">
            <w:pPr>
              <w:rPr>
                <w:b w:val="0"/>
                <w:color w:val="auto"/>
                <w:lang w:val="en-US"/>
              </w:rPr>
            </w:pPr>
            <w:r w:rsidRPr="00220040">
              <w:rPr>
                <w:color w:val="auto"/>
                <w:lang w:val="en-US"/>
              </w:rPr>
              <w:t>Monitoring parameter</w:t>
            </w:r>
          </w:p>
        </w:tc>
        <w:tc>
          <w:tcPr>
            <w:tcW w:w="608" w:type="dxa"/>
          </w:tcPr>
          <w:p w:rsidR="00312DBE" w:rsidRPr="00312DBE" w:rsidRDefault="00312DBE" w:rsidP="00E2596C">
            <w:pPr>
              <w:cnfStyle w:val="100000000000" w:firstRow="1" w:lastRow="0" w:firstColumn="0" w:lastColumn="0" w:oddVBand="0" w:evenVBand="0" w:oddHBand="0" w:evenHBand="0" w:firstRowFirstColumn="0" w:firstRowLastColumn="0" w:lastRowFirstColumn="0" w:lastRowLastColumn="0"/>
              <w:rPr>
                <w:color w:val="auto"/>
                <w:lang w:val="en-US"/>
              </w:rPr>
            </w:pPr>
            <w:r w:rsidRPr="00312DBE">
              <w:rPr>
                <w:color w:val="auto"/>
                <w:lang w:val="en-US"/>
              </w:rPr>
              <w:t>Unit</w:t>
            </w:r>
          </w:p>
        </w:tc>
        <w:tc>
          <w:tcPr>
            <w:tcW w:w="2652" w:type="dxa"/>
          </w:tcPr>
          <w:p w:rsidR="00312DBE" w:rsidRPr="00220040" w:rsidRDefault="00312DBE" w:rsidP="00E2596C">
            <w:pPr>
              <w:cnfStyle w:val="100000000000" w:firstRow="1" w:lastRow="0" w:firstColumn="0" w:lastColumn="0" w:oddVBand="0" w:evenVBand="0" w:oddHBand="0" w:evenHBand="0" w:firstRowFirstColumn="0" w:firstRowLastColumn="0" w:lastRowFirstColumn="0" w:lastRowLastColumn="0"/>
              <w:rPr>
                <w:b w:val="0"/>
                <w:color w:val="auto"/>
                <w:lang w:val="en-US"/>
              </w:rPr>
            </w:pPr>
            <w:r w:rsidRPr="00220040">
              <w:rPr>
                <w:color w:val="auto"/>
                <w:lang w:val="en-US"/>
              </w:rPr>
              <w:t>Monitoring method</w:t>
            </w:r>
          </w:p>
        </w:tc>
        <w:tc>
          <w:tcPr>
            <w:tcW w:w="2693" w:type="dxa"/>
          </w:tcPr>
          <w:p w:rsidR="00312DBE" w:rsidRPr="00220040" w:rsidRDefault="00312DBE" w:rsidP="00E2596C">
            <w:pPr>
              <w:cnfStyle w:val="100000000000" w:firstRow="1" w:lastRow="0" w:firstColumn="0" w:lastColumn="0" w:oddVBand="0" w:evenVBand="0" w:oddHBand="0" w:evenHBand="0" w:firstRowFirstColumn="0" w:firstRowLastColumn="0" w:lastRowFirstColumn="0" w:lastRowLastColumn="0"/>
              <w:rPr>
                <w:b w:val="0"/>
                <w:color w:val="auto"/>
                <w:lang w:val="en-US"/>
              </w:rPr>
            </w:pPr>
            <w:r w:rsidRPr="00220040">
              <w:rPr>
                <w:color w:val="auto"/>
                <w:lang w:val="en-US"/>
              </w:rPr>
              <w:t>Reporting requirement</w:t>
            </w:r>
          </w:p>
        </w:tc>
        <w:tc>
          <w:tcPr>
            <w:tcW w:w="1573" w:type="dxa"/>
          </w:tcPr>
          <w:p w:rsidR="00312DBE" w:rsidRPr="00312DBE" w:rsidRDefault="00312DBE" w:rsidP="00E2596C">
            <w:pPr>
              <w:cnfStyle w:val="100000000000" w:firstRow="1" w:lastRow="0" w:firstColumn="0" w:lastColumn="0" w:oddVBand="0" w:evenVBand="0" w:oddHBand="0" w:evenHBand="0" w:firstRowFirstColumn="0" w:firstRowLastColumn="0" w:lastRowFirstColumn="0" w:lastRowLastColumn="0"/>
              <w:rPr>
                <w:color w:val="auto"/>
                <w:lang w:val="en-US"/>
              </w:rPr>
            </w:pPr>
            <w:r w:rsidRPr="00312DBE">
              <w:rPr>
                <w:color w:val="auto"/>
                <w:lang w:val="en-US"/>
              </w:rPr>
              <w:t>Verification methods</w:t>
            </w:r>
          </w:p>
        </w:tc>
      </w:tr>
      <w:tr w:rsidR="00312DBE" w:rsidRPr="00ED407B" w:rsidTr="00C9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312DBE" w:rsidRPr="00220040" w:rsidRDefault="00312DBE" w:rsidP="008F2F5C">
            <w:pPr>
              <w:rPr>
                <w:b w:val="0"/>
                <w:lang w:val="en-US"/>
              </w:rPr>
            </w:pPr>
            <w:r w:rsidRPr="00220040">
              <w:rPr>
                <w:b w:val="0"/>
                <w:lang w:val="en-US"/>
              </w:rPr>
              <w:t>Harvesting area (AAC)</w:t>
            </w:r>
          </w:p>
        </w:tc>
        <w:tc>
          <w:tcPr>
            <w:tcW w:w="608" w:type="dxa"/>
          </w:tcPr>
          <w:p w:rsidR="00312DBE" w:rsidRPr="00220040"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ha</w:t>
            </w:r>
          </w:p>
        </w:tc>
        <w:tc>
          <w:tcPr>
            <w:tcW w:w="2652" w:type="dxa"/>
          </w:tcPr>
          <w:p w:rsidR="00312DBE" w:rsidRDefault="0041106F"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Localization of AAC limits in the forest area using GPS; </w:t>
            </w:r>
          </w:p>
        </w:tc>
        <w:tc>
          <w:tcPr>
            <w:tcW w:w="2693" w:type="dxa"/>
          </w:tcPr>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Printed map and shape file of the AAC </w:t>
            </w:r>
          </w:p>
        </w:tc>
        <w:tc>
          <w:tcPr>
            <w:tcW w:w="1573" w:type="dxa"/>
          </w:tcPr>
          <w:p w:rsidR="00312DBE" w:rsidRDefault="00312DBE" w:rsidP="00312DBE">
            <w:pPr>
              <w:cnfStyle w:val="000000100000" w:firstRow="0" w:lastRow="0" w:firstColumn="0" w:lastColumn="0" w:oddVBand="0" w:evenVBand="0" w:oddHBand="1" w:evenHBand="0" w:firstRowFirstColumn="0" w:firstRowLastColumn="0" w:lastRowFirstColumn="0" w:lastRowLastColumn="0"/>
              <w:rPr>
                <w:lang w:val="en-US"/>
              </w:rPr>
            </w:pPr>
            <w:r>
              <w:rPr>
                <w:lang w:val="en-US"/>
              </w:rPr>
              <w:t>Field audit and Landsat imagery</w:t>
            </w:r>
          </w:p>
        </w:tc>
      </w:tr>
      <w:tr w:rsidR="00312DBE" w:rsidRPr="00ED407B" w:rsidTr="00C96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312DBE" w:rsidRPr="00220040" w:rsidRDefault="00312DBE" w:rsidP="002B26FB">
            <w:pPr>
              <w:rPr>
                <w:b w:val="0"/>
                <w:lang w:val="en-US"/>
              </w:rPr>
            </w:pPr>
            <w:r>
              <w:rPr>
                <w:b w:val="0"/>
                <w:lang w:val="en-US"/>
              </w:rPr>
              <w:t>Length of p</w:t>
            </w:r>
            <w:r w:rsidRPr="00220040">
              <w:rPr>
                <w:b w:val="0"/>
                <w:lang w:val="en-US"/>
              </w:rPr>
              <w:t>rincipal and secondary road</w:t>
            </w:r>
            <w:r>
              <w:rPr>
                <w:b w:val="0"/>
                <w:lang w:val="en-US"/>
              </w:rPr>
              <w:t>s and skid trails</w:t>
            </w:r>
          </w:p>
        </w:tc>
        <w:tc>
          <w:tcPr>
            <w:tcW w:w="608" w:type="dxa"/>
          </w:tcPr>
          <w:p w:rsidR="00312DBE" w:rsidRPr="00220040" w:rsidRDefault="00312DBE" w:rsidP="00E2596C">
            <w:pPr>
              <w:ind w:hanging="300"/>
              <w:cnfStyle w:val="000000010000" w:firstRow="0" w:lastRow="0" w:firstColumn="0" w:lastColumn="0" w:oddVBand="0" w:evenVBand="0" w:oddHBand="0" w:evenHBand="1" w:firstRowFirstColumn="0" w:firstRowLastColumn="0" w:lastRowFirstColumn="0" w:lastRowLastColumn="0"/>
              <w:rPr>
                <w:lang w:val="en-US"/>
              </w:rPr>
            </w:pPr>
            <w:r>
              <w:rPr>
                <w:lang w:val="en-US"/>
              </w:rPr>
              <w:t>m</w:t>
            </w:r>
            <w:r w:rsidR="00C96A84">
              <w:rPr>
                <w:lang w:val="en-US"/>
              </w:rPr>
              <w:t>m</w:t>
            </w:r>
          </w:p>
        </w:tc>
        <w:tc>
          <w:tcPr>
            <w:tcW w:w="2652" w:type="dxa"/>
          </w:tcPr>
          <w:p w:rsidR="00312DBE" w:rsidRDefault="00312DBE" w:rsidP="002B26FB">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Measurement of all road and </w:t>
            </w:r>
            <w:proofErr w:type="spellStart"/>
            <w:r w:rsidR="005C43C0">
              <w:rPr>
                <w:lang w:val="en-US"/>
              </w:rPr>
              <w:t>skidtrail</w:t>
            </w:r>
            <w:proofErr w:type="spellEnd"/>
            <w:r>
              <w:rPr>
                <w:lang w:val="en-US"/>
              </w:rPr>
              <w:t xml:space="preserve"> segments using a GPS unit. Divide length by AAC area to arrive at road and skid trail density [m/ha]</w:t>
            </w:r>
          </w:p>
        </w:tc>
        <w:tc>
          <w:tcPr>
            <w:tcW w:w="2693" w:type="dxa"/>
          </w:tcPr>
          <w:p w:rsidR="00312DBE" w:rsidRDefault="00312DBE" w:rsidP="008F2F5C">
            <w:pPr>
              <w:cnfStyle w:val="000000010000" w:firstRow="0" w:lastRow="0" w:firstColumn="0" w:lastColumn="0" w:oddVBand="0" w:evenVBand="0" w:oddHBand="0" w:evenHBand="1" w:firstRowFirstColumn="0" w:firstRowLastColumn="0" w:lastRowFirstColumn="0" w:lastRowLastColumn="0"/>
              <w:rPr>
                <w:lang w:val="en-US"/>
              </w:rPr>
            </w:pPr>
            <w:r>
              <w:rPr>
                <w:lang w:val="en-US"/>
              </w:rPr>
              <w:t>Printed map and shape file of the road network, including a table of all road segments and presentation of the total road length</w:t>
            </w:r>
          </w:p>
        </w:tc>
        <w:tc>
          <w:tcPr>
            <w:tcW w:w="1573" w:type="dxa"/>
          </w:tcPr>
          <w:p w:rsidR="00312DBE" w:rsidRDefault="00312DBE" w:rsidP="00312DBE">
            <w:pPr>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Landsat imagery for roads; field audit for </w:t>
            </w:r>
            <w:proofErr w:type="spellStart"/>
            <w:r>
              <w:rPr>
                <w:lang w:val="en-US"/>
              </w:rPr>
              <w:t>skidtrails</w:t>
            </w:r>
            <w:proofErr w:type="spellEnd"/>
          </w:p>
        </w:tc>
      </w:tr>
      <w:tr w:rsidR="00312DBE" w:rsidRPr="00455F11" w:rsidTr="00C96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312DBE" w:rsidRPr="00220040" w:rsidRDefault="00312DBE" w:rsidP="008F2F5C">
            <w:pPr>
              <w:rPr>
                <w:b w:val="0"/>
                <w:lang w:val="en-US"/>
              </w:rPr>
            </w:pPr>
            <w:r>
              <w:rPr>
                <w:b w:val="0"/>
                <w:lang w:val="en-US"/>
              </w:rPr>
              <w:t>Width of principal and secondary roads, solar strips and skid trails</w:t>
            </w:r>
          </w:p>
        </w:tc>
        <w:tc>
          <w:tcPr>
            <w:tcW w:w="608" w:type="dxa"/>
          </w:tcPr>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m</w:t>
            </w:r>
          </w:p>
        </w:tc>
        <w:tc>
          <w:tcPr>
            <w:tcW w:w="2652" w:type="dxa"/>
          </w:tcPr>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Measurement of width at frequent intervals using a measuring tape. Measurement interval depends on road type (see measurement protocols)</w:t>
            </w:r>
          </w:p>
        </w:tc>
        <w:tc>
          <w:tcPr>
            <w:tcW w:w="2693" w:type="dxa"/>
          </w:tcPr>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Printed map and shapefile with all measurement points. </w:t>
            </w:r>
          </w:p>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Table with all width measurements and calculated mean values.</w:t>
            </w:r>
          </w:p>
        </w:tc>
        <w:tc>
          <w:tcPr>
            <w:tcW w:w="1573" w:type="dxa"/>
          </w:tcPr>
          <w:p w:rsidR="00312DBE" w:rsidRDefault="00312DBE" w:rsidP="008F2F5C">
            <w:pPr>
              <w:cnfStyle w:val="000000100000" w:firstRow="0" w:lastRow="0" w:firstColumn="0" w:lastColumn="0" w:oddVBand="0" w:evenVBand="0" w:oddHBand="1" w:evenHBand="0" w:firstRowFirstColumn="0" w:firstRowLastColumn="0" w:lastRowFirstColumn="0" w:lastRowLastColumn="0"/>
              <w:rPr>
                <w:lang w:val="en-US"/>
              </w:rPr>
            </w:pPr>
            <w:r>
              <w:rPr>
                <w:lang w:val="en-US"/>
              </w:rPr>
              <w:t>Field audit</w:t>
            </w:r>
          </w:p>
        </w:tc>
      </w:tr>
      <w:tr w:rsidR="00312DBE" w:rsidRPr="00455F11" w:rsidTr="00C96A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rsidR="00312DBE" w:rsidRPr="00220040" w:rsidRDefault="00312DBE" w:rsidP="008F2F5C">
            <w:pPr>
              <w:rPr>
                <w:b w:val="0"/>
                <w:lang w:val="en-US"/>
              </w:rPr>
            </w:pPr>
            <w:r>
              <w:rPr>
                <w:b w:val="0"/>
                <w:lang w:val="en-US"/>
              </w:rPr>
              <w:t>Area of log landings</w:t>
            </w:r>
          </w:p>
        </w:tc>
        <w:tc>
          <w:tcPr>
            <w:tcW w:w="608" w:type="dxa"/>
          </w:tcPr>
          <w:p w:rsidR="00312DBE" w:rsidRDefault="00312DBE" w:rsidP="008F2F5C">
            <w:pPr>
              <w:cnfStyle w:val="000000010000" w:firstRow="0" w:lastRow="0" w:firstColumn="0" w:lastColumn="0" w:oddVBand="0" w:evenVBand="0" w:oddHBand="0" w:evenHBand="1" w:firstRowFirstColumn="0" w:firstRowLastColumn="0" w:lastRowFirstColumn="0" w:lastRowLastColumn="0"/>
              <w:rPr>
                <w:lang w:val="en-US"/>
              </w:rPr>
            </w:pPr>
            <w:r>
              <w:rPr>
                <w:lang w:val="en-US"/>
              </w:rPr>
              <w:t>m²</w:t>
            </w:r>
          </w:p>
        </w:tc>
        <w:tc>
          <w:tcPr>
            <w:tcW w:w="2652" w:type="dxa"/>
          </w:tcPr>
          <w:p w:rsidR="00312DBE" w:rsidRDefault="00312DBE" w:rsidP="008F2F5C">
            <w:pPr>
              <w:cnfStyle w:val="000000010000" w:firstRow="0" w:lastRow="0" w:firstColumn="0" w:lastColumn="0" w:oddVBand="0" w:evenVBand="0" w:oddHBand="0" w:evenHBand="1" w:firstRowFirstColumn="0" w:firstRowLastColumn="0" w:lastRowFirstColumn="0" w:lastRowLastColumn="0"/>
              <w:rPr>
                <w:lang w:val="en-US"/>
              </w:rPr>
            </w:pPr>
            <w:r>
              <w:rPr>
                <w:lang w:val="en-US"/>
              </w:rPr>
              <w:t>GPS or measuring tape</w:t>
            </w:r>
          </w:p>
        </w:tc>
        <w:tc>
          <w:tcPr>
            <w:tcW w:w="2693" w:type="dxa"/>
          </w:tcPr>
          <w:p w:rsidR="00312DBE" w:rsidRDefault="00312DBE" w:rsidP="008F2F5C">
            <w:pPr>
              <w:cnfStyle w:val="000000010000" w:firstRow="0" w:lastRow="0" w:firstColumn="0" w:lastColumn="0" w:oddVBand="0" w:evenVBand="0" w:oddHBand="0" w:evenHBand="1" w:firstRowFirstColumn="0" w:firstRowLastColumn="0" w:lastRowFirstColumn="0" w:lastRowLastColumn="0"/>
              <w:rPr>
                <w:lang w:val="en-US"/>
              </w:rPr>
            </w:pPr>
            <w:r>
              <w:rPr>
                <w:lang w:val="en-US"/>
              </w:rPr>
              <w:t>Printed map and shape file of all log landings</w:t>
            </w:r>
          </w:p>
        </w:tc>
        <w:tc>
          <w:tcPr>
            <w:tcW w:w="1573" w:type="dxa"/>
          </w:tcPr>
          <w:p w:rsidR="00312DBE" w:rsidRDefault="00312DBE" w:rsidP="008F2F5C">
            <w:pPr>
              <w:cnfStyle w:val="000000010000" w:firstRow="0" w:lastRow="0" w:firstColumn="0" w:lastColumn="0" w:oddVBand="0" w:evenVBand="0" w:oddHBand="0" w:evenHBand="1" w:firstRowFirstColumn="0" w:firstRowLastColumn="0" w:lastRowFirstColumn="0" w:lastRowLastColumn="0"/>
              <w:rPr>
                <w:lang w:val="en-US"/>
              </w:rPr>
            </w:pPr>
            <w:r>
              <w:rPr>
                <w:lang w:val="en-US"/>
              </w:rPr>
              <w:t>Landsat imagery</w:t>
            </w:r>
          </w:p>
        </w:tc>
      </w:tr>
    </w:tbl>
    <w:p w:rsidR="00062E9C" w:rsidRDefault="00062E9C" w:rsidP="00E61ED5">
      <w:pPr>
        <w:jc w:val="both"/>
        <w:rPr>
          <w:lang w:val="en-US"/>
        </w:rPr>
      </w:pPr>
    </w:p>
    <w:p w:rsidR="00C60774" w:rsidRDefault="008162E8" w:rsidP="00E61ED5">
      <w:pPr>
        <w:jc w:val="both"/>
        <w:rPr>
          <w:lang w:val="en-US"/>
        </w:rPr>
      </w:pPr>
      <w:r>
        <w:rPr>
          <w:lang w:val="en-US"/>
        </w:rPr>
        <w:t>For reporting, the so-called '</w:t>
      </w:r>
      <w:r w:rsidR="00F414F7">
        <w:rPr>
          <w:lang w:val="en-US"/>
        </w:rPr>
        <w:t>quarterly</w:t>
      </w:r>
      <w:r>
        <w:rPr>
          <w:lang w:val="en-US"/>
        </w:rPr>
        <w:t xml:space="preserve"> declaration' </w:t>
      </w:r>
      <w:r w:rsidRPr="00455F11">
        <w:rPr>
          <w:lang w:val="en-US"/>
        </w:rPr>
        <w:t>(</w:t>
      </w:r>
      <w:proofErr w:type="spellStart"/>
      <w:r w:rsidRPr="00455F11">
        <w:rPr>
          <w:lang w:val="en-US"/>
        </w:rPr>
        <w:t>déclaration</w:t>
      </w:r>
      <w:proofErr w:type="spellEnd"/>
      <w:r w:rsidR="007B498E">
        <w:rPr>
          <w:lang w:val="en-US"/>
        </w:rPr>
        <w:t xml:space="preserve"> </w:t>
      </w:r>
      <w:proofErr w:type="spellStart"/>
      <w:r w:rsidRPr="00455F11">
        <w:rPr>
          <w:lang w:val="en-US"/>
        </w:rPr>
        <w:t>trimestrielle</w:t>
      </w:r>
      <w:proofErr w:type="spellEnd"/>
      <w:r>
        <w:rPr>
          <w:lang w:val="en-US"/>
        </w:rPr>
        <w:t xml:space="preserve">) is proposed plus a final report </w:t>
      </w:r>
      <w:r w:rsidR="00F414F7">
        <w:rPr>
          <w:lang w:val="en-US"/>
        </w:rPr>
        <w:t xml:space="preserve">upon closure of the AAC. In these quarterly </w:t>
      </w:r>
      <w:r>
        <w:rPr>
          <w:lang w:val="en-US"/>
        </w:rPr>
        <w:t>declaration</w:t>
      </w:r>
      <w:r w:rsidR="00F414F7">
        <w:rPr>
          <w:lang w:val="en-US"/>
        </w:rPr>
        <w:t>s, forestry concession</w:t>
      </w:r>
      <w:r>
        <w:rPr>
          <w:lang w:val="en-US"/>
        </w:rPr>
        <w:t xml:space="preserve"> </w:t>
      </w:r>
      <w:proofErr w:type="gramStart"/>
      <w:r>
        <w:rPr>
          <w:lang w:val="en-US"/>
        </w:rPr>
        <w:t>companies</w:t>
      </w:r>
      <w:proofErr w:type="gramEnd"/>
      <w:r>
        <w:rPr>
          <w:lang w:val="en-US"/>
        </w:rPr>
        <w:t xml:space="preserve"> report </w:t>
      </w:r>
      <w:r w:rsidR="00F414F7">
        <w:rPr>
          <w:lang w:val="en-US"/>
        </w:rPr>
        <w:t xml:space="preserve">every 3 months the timber volume harvested, the </w:t>
      </w:r>
      <w:r w:rsidR="00814893">
        <w:rPr>
          <w:lang w:val="en-US"/>
        </w:rPr>
        <w:t>associated harvesting area and</w:t>
      </w:r>
      <w:r w:rsidR="00F414F7">
        <w:rPr>
          <w:lang w:val="en-US"/>
        </w:rPr>
        <w:t xml:space="preserve"> the length of roads opened</w:t>
      </w:r>
      <w:r w:rsidR="00814893">
        <w:rPr>
          <w:lang w:val="en-US"/>
        </w:rPr>
        <w:t>.</w:t>
      </w:r>
      <w:r w:rsidR="007067CF">
        <w:rPr>
          <w:lang w:val="en-US"/>
        </w:rPr>
        <w:t xml:space="preserve"> </w:t>
      </w:r>
      <w:bookmarkStart w:id="0" w:name="_GoBack"/>
      <w:bookmarkEnd w:id="0"/>
      <w:r w:rsidR="008A0629">
        <w:rPr>
          <w:lang w:val="en-US"/>
        </w:rPr>
        <w:t xml:space="preserve">Altering the reporting template for the purpose of the ER-Program to include in addition the above parameters should not be problem. Quarterly reporting does also make sense from the point of view of taking the measurements. While in theory it would be most efficient to wait with the measurements until harvesting has been completed and the AAC has been closed, </w:t>
      </w:r>
      <w:r w:rsidR="001E0FB2">
        <w:rPr>
          <w:lang w:val="en-US"/>
        </w:rPr>
        <w:t xml:space="preserve">the vigorous regrowth on e.g. </w:t>
      </w:r>
      <w:r w:rsidR="006C0619">
        <w:rPr>
          <w:lang w:val="en-US"/>
        </w:rPr>
        <w:t>skid trails</w:t>
      </w:r>
      <w:r w:rsidR="001E0FB2">
        <w:rPr>
          <w:lang w:val="en-US"/>
        </w:rPr>
        <w:t xml:space="preserve"> and solar strips would make measurements here very difficult </w:t>
      </w:r>
      <w:r w:rsidR="00DD1007">
        <w:rPr>
          <w:lang w:val="en-US"/>
        </w:rPr>
        <w:t xml:space="preserve">and time consuming </w:t>
      </w:r>
      <w:r w:rsidR="001E0FB2">
        <w:rPr>
          <w:lang w:val="en-US"/>
        </w:rPr>
        <w:t>alread</w:t>
      </w:r>
      <w:r w:rsidR="00C12CC5">
        <w:rPr>
          <w:lang w:val="en-US"/>
        </w:rPr>
        <w:t xml:space="preserve">y 6-12 months after harvesting. </w:t>
      </w:r>
    </w:p>
    <w:p w:rsidR="00C12CC5" w:rsidRDefault="00C12CC5" w:rsidP="00E61ED5">
      <w:pPr>
        <w:jc w:val="both"/>
        <w:rPr>
          <w:lang w:val="en-US"/>
        </w:rPr>
      </w:pPr>
      <w:r>
        <w:rPr>
          <w:lang w:val="en-US"/>
        </w:rPr>
        <w:t>For parameters which provide an average value (</w:t>
      </w:r>
      <w:r w:rsidR="00E61ED5">
        <w:rPr>
          <w:lang w:val="en-US"/>
        </w:rPr>
        <w:t>width of road strip and solar strip), measurements should be continuous but would not need to be reported on a quarterly basis. All measurements should be compiled in a final report and submitted to the ER-Program upon closure of the AAC.</w:t>
      </w:r>
    </w:p>
    <w:p w:rsidR="00E61ED5" w:rsidRDefault="00814893" w:rsidP="00E61ED5">
      <w:pPr>
        <w:jc w:val="both"/>
        <w:rPr>
          <w:lang w:val="en-US"/>
        </w:rPr>
      </w:pPr>
      <w:r>
        <w:rPr>
          <w:lang w:val="en-US"/>
        </w:rPr>
        <w:t>The ER-Program would then make a desk-review</w:t>
      </w:r>
      <w:r w:rsidR="00F55CD7">
        <w:rPr>
          <w:lang w:val="en-US"/>
        </w:rPr>
        <w:t xml:space="preserve"> of the report and undertake a field </w:t>
      </w:r>
      <w:r>
        <w:rPr>
          <w:lang w:val="en-US"/>
        </w:rPr>
        <w:t xml:space="preserve">audit of the AAC </w:t>
      </w:r>
      <w:r w:rsidR="00F55CD7">
        <w:rPr>
          <w:lang w:val="en-US"/>
        </w:rPr>
        <w:t>including control measurements (either through its technical staff our though a commissioned third party).</w:t>
      </w:r>
      <w:r w:rsidR="00732AC1">
        <w:rPr>
          <w:lang w:val="en-US"/>
        </w:rPr>
        <w:t xml:space="preserve"> These verification costs would be borne by the ER-Program.</w:t>
      </w:r>
    </w:p>
    <w:p w:rsidR="004F5F29" w:rsidRDefault="00732AC1" w:rsidP="007067CF">
      <w:pPr>
        <w:jc w:val="both"/>
        <w:rPr>
          <w:lang w:val="en-US"/>
        </w:rPr>
      </w:pPr>
      <w:r>
        <w:rPr>
          <w:lang w:val="en-US"/>
        </w:rPr>
        <w:t>Following a positive verification result, the ER-Program would transact the payment to the forestry concession company (achieved ER x agr</w:t>
      </w:r>
      <w:r w:rsidR="007067CF">
        <w:rPr>
          <w:lang w:val="en-US"/>
        </w:rPr>
        <w:t xml:space="preserve">eed price). </w:t>
      </w:r>
    </w:p>
    <w:sectPr w:rsidR="004F5F29" w:rsidSect="00155C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40" w:rsidRDefault="00A53240" w:rsidP="007D4905">
      <w:pPr>
        <w:spacing w:after="0" w:line="240" w:lineRule="auto"/>
      </w:pPr>
      <w:r>
        <w:separator/>
      </w:r>
    </w:p>
  </w:endnote>
  <w:endnote w:type="continuationSeparator" w:id="0">
    <w:p w:rsidR="00A53240" w:rsidRDefault="00A53240" w:rsidP="007D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40" w:rsidRDefault="00A53240" w:rsidP="007D4905">
      <w:pPr>
        <w:spacing w:after="0" w:line="240" w:lineRule="auto"/>
      </w:pPr>
      <w:r>
        <w:separator/>
      </w:r>
    </w:p>
  </w:footnote>
  <w:footnote w:type="continuationSeparator" w:id="0">
    <w:p w:rsidR="00A53240" w:rsidRDefault="00A53240" w:rsidP="007D4905">
      <w:pPr>
        <w:spacing w:after="0" w:line="240" w:lineRule="auto"/>
      </w:pPr>
      <w:r>
        <w:continuationSeparator/>
      </w:r>
    </w:p>
  </w:footnote>
  <w:footnote w:id="1">
    <w:p w:rsidR="00F20EB5" w:rsidRPr="00870B7E" w:rsidRDefault="00F20EB5" w:rsidP="00870B7E">
      <w:pPr>
        <w:jc w:val="both"/>
        <w:rPr>
          <w:lang w:val="en-GB"/>
        </w:rPr>
      </w:pPr>
      <w:r>
        <w:rPr>
          <w:rStyle w:val="FootnoteReference"/>
        </w:rPr>
        <w:footnoteRef/>
      </w:r>
      <w:r w:rsidRPr="00870B7E">
        <w:rPr>
          <w:rFonts w:ascii="Calibri" w:eastAsia="Times New Roman" w:hAnsi="Calibri" w:cs="Times New Roman"/>
          <w:szCs w:val="20"/>
          <w:lang w:val="en-US" w:bidi="en-US"/>
        </w:rPr>
        <w:t xml:space="preserve">Hirsh, F., </w:t>
      </w:r>
      <w:proofErr w:type="spellStart"/>
      <w:r w:rsidRPr="00870B7E">
        <w:rPr>
          <w:rFonts w:ascii="Calibri" w:eastAsia="Times New Roman" w:hAnsi="Calibri" w:cs="Times New Roman"/>
          <w:szCs w:val="20"/>
          <w:lang w:val="en-US" w:bidi="en-US"/>
        </w:rPr>
        <w:t>Jourget</w:t>
      </w:r>
      <w:proofErr w:type="spellEnd"/>
      <w:r w:rsidRPr="00870B7E">
        <w:rPr>
          <w:rFonts w:ascii="Calibri" w:eastAsia="Times New Roman" w:hAnsi="Calibri" w:cs="Times New Roman"/>
          <w:szCs w:val="20"/>
          <w:lang w:val="en-US" w:bidi="en-US"/>
        </w:rPr>
        <w:t xml:space="preserve">, J.-G., </w:t>
      </w:r>
      <w:proofErr w:type="spellStart"/>
      <w:r w:rsidRPr="00870B7E">
        <w:rPr>
          <w:rFonts w:ascii="Calibri" w:eastAsia="Times New Roman" w:hAnsi="Calibri" w:cs="Times New Roman"/>
          <w:szCs w:val="20"/>
          <w:lang w:val="en-US" w:bidi="en-US"/>
        </w:rPr>
        <w:t>Feintrenie</w:t>
      </w:r>
      <w:proofErr w:type="spellEnd"/>
      <w:r w:rsidRPr="00870B7E">
        <w:rPr>
          <w:rFonts w:ascii="Calibri" w:eastAsia="Times New Roman" w:hAnsi="Calibri" w:cs="Times New Roman"/>
          <w:szCs w:val="20"/>
          <w:lang w:val="en-US" w:bidi="en-US"/>
        </w:rPr>
        <w:t xml:space="preserve">, L., </w:t>
      </w:r>
      <w:proofErr w:type="spellStart"/>
      <w:r w:rsidRPr="00870B7E">
        <w:rPr>
          <w:rFonts w:ascii="Calibri" w:eastAsia="Times New Roman" w:hAnsi="Calibri" w:cs="Times New Roman"/>
          <w:szCs w:val="20"/>
          <w:lang w:val="en-US" w:bidi="en-US"/>
        </w:rPr>
        <w:t>Bayol</w:t>
      </w:r>
      <w:proofErr w:type="spellEnd"/>
      <w:r w:rsidRPr="00870B7E">
        <w:rPr>
          <w:rFonts w:ascii="Calibri" w:eastAsia="Times New Roman" w:hAnsi="Calibri" w:cs="Times New Roman"/>
          <w:szCs w:val="20"/>
          <w:lang w:val="en-US" w:bidi="en-US"/>
        </w:rPr>
        <w:t xml:space="preserve">, N. and </w:t>
      </w:r>
      <w:proofErr w:type="spellStart"/>
      <w:r w:rsidRPr="00870B7E">
        <w:rPr>
          <w:rFonts w:ascii="Calibri" w:eastAsia="Times New Roman" w:hAnsi="Calibri" w:cs="Times New Roman"/>
          <w:szCs w:val="20"/>
          <w:lang w:val="en-US" w:bidi="en-US"/>
        </w:rPr>
        <w:t>Atyi</w:t>
      </w:r>
      <w:proofErr w:type="spellEnd"/>
      <w:r w:rsidRPr="00870B7E">
        <w:rPr>
          <w:rFonts w:ascii="Calibri" w:eastAsia="Times New Roman" w:hAnsi="Calibri" w:cs="Times New Roman"/>
          <w:szCs w:val="20"/>
          <w:lang w:val="en-US" w:bidi="en-US"/>
        </w:rPr>
        <w:t xml:space="preserve">, R.E. 2013. </w:t>
      </w:r>
      <w:proofErr w:type="spellStart"/>
      <w:r w:rsidRPr="00870B7E">
        <w:rPr>
          <w:rFonts w:ascii="Calibri" w:eastAsia="Times New Roman" w:hAnsi="Calibri" w:cs="Times New Roman"/>
          <w:szCs w:val="20"/>
          <w:lang w:val="en-US" w:bidi="en-US"/>
        </w:rPr>
        <w:t>Projetpilote</w:t>
      </w:r>
      <w:proofErr w:type="spellEnd"/>
      <w:r w:rsidRPr="00870B7E">
        <w:rPr>
          <w:rFonts w:ascii="Calibri" w:eastAsia="Times New Roman" w:hAnsi="Calibri" w:cs="Times New Roman"/>
          <w:szCs w:val="20"/>
          <w:lang w:val="en-US" w:bidi="en-US"/>
        </w:rPr>
        <w:t xml:space="preserve"> REDD+ de la </w:t>
      </w:r>
      <w:proofErr w:type="spellStart"/>
      <w:r w:rsidRPr="00870B7E">
        <w:rPr>
          <w:rFonts w:ascii="Calibri" w:eastAsia="Times New Roman" w:hAnsi="Calibri" w:cs="Times New Roman"/>
          <w:szCs w:val="20"/>
          <w:lang w:val="en-US" w:bidi="en-US"/>
        </w:rPr>
        <w:t>Lukénie</w:t>
      </w:r>
      <w:proofErr w:type="spellEnd"/>
      <w:r w:rsidRPr="00870B7E">
        <w:rPr>
          <w:rFonts w:ascii="Calibri" w:eastAsia="Times New Roman" w:hAnsi="Calibri" w:cs="Times New Roman"/>
          <w:szCs w:val="20"/>
          <w:lang w:val="en-US" w:bidi="en-US"/>
        </w:rPr>
        <w:t>. Working Pape</w:t>
      </w:r>
      <w:r w:rsidRPr="00870B7E">
        <w:rPr>
          <w:rFonts w:eastAsia="Times New Roman" w:cs="Times New Roman"/>
          <w:szCs w:val="20"/>
          <w:lang w:val="en-US" w:bidi="en-US"/>
        </w:rPr>
        <w:t>r 111. CIFOR, Bogor, Indonesia.</w:t>
      </w:r>
    </w:p>
  </w:footnote>
  <w:footnote w:id="2">
    <w:p w:rsidR="00F20EB5" w:rsidRPr="001C26D9" w:rsidRDefault="00F20EB5" w:rsidP="001C26D9">
      <w:pPr>
        <w:pStyle w:val="Default"/>
        <w:rPr>
          <w:lang w:val="en-US"/>
        </w:rPr>
      </w:pPr>
      <w:r>
        <w:rPr>
          <w:rStyle w:val="FootnoteReference"/>
        </w:rPr>
        <w:footnoteRef/>
      </w:r>
      <w:proofErr w:type="spellStart"/>
      <w:r w:rsidRPr="001C26D9">
        <w:rPr>
          <w:rFonts w:asciiTheme="minorHAnsi" w:eastAsia="Times New Roman" w:hAnsiTheme="minorHAnsi" w:cs="Times New Roman"/>
          <w:color w:val="auto"/>
          <w:sz w:val="22"/>
          <w:szCs w:val="20"/>
          <w:lang w:val="en-US" w:bidi="en-US"/>
        </w:rPr>
        <w:t>FRMi</w:t>
      </w:r>
      <w:proofErr w:type="spellEnd"/>
      <w:r w:rsidRPr="001C26D9">
        <w:rPr>
          <w:rFonts w:asciiTheme="minorHAnsi" w:eastAsia="Times New Roman" w:hAnsiTheme="minorHAnsi" w:cs="Times New Roman"/>
          <w:color w:val="auto"/>
          <w:sz w:val="22"/>
          <w:szCs w:val="20"/>
          <w:lang w:val="en-US" w:bidi="en-US"/>
        </w:rPr>
        <w:t xml:space="preserve"> (2015) </w:t>
      </w:r>
      <w:r>
        <w:rPr>
          <w:rFonts w:ascii="Calibri" w:eastAsia="Times New Roman" w:hAnsi="Calibri" w:cs="Times New Roman"/>
          <w:color w:val="auto"/>
          <w:sz w:val="22"/>
          <w:szCs w:val="20"/>
          <w:lang w:val="en-US" w:bidi="en-US"/>
        </w:rPr>
        <w:t>Assessment of the Reference Emission Level (REL</w:t>
      </w:r>
      <w:r w:rsidRPr="001C26D9">
        <w:rPr>
          <w:rFonts w:ascii="Calibri" w:eastAsia="Times New Roman" w:hAnsi="Calibri" w:cs="Times New Roman"/>
          <w:color w:val="auto"/>
          <w:sz w:val="22"/>
          <w:szCs w:val="20"/>
          <w:lang w:val="en-US" w:bidi="en-US"/>
        </w:rPr>
        <w:t>) For Planned Degrada</w:t>
      </w:r>
      <w:r>
        <w:rPr>
          <w:rFonts w:ascii="Calibri" w:eastAsia="Times New Roman" w:hAnsi="Calibri" w:cs="Times New Roman"/>
          <w:color w:val="auto"/>
          <w:sz w:val="22"/>
          <w:szCs w:val="20"/>
          <w:lang w:val="en-US" w:bidi="en-US"/>
        </w:rPr>
        <w:t>tion for t</w:t>
      </w:r>
      <w:r w:rsidRPr="001C26D9">
        <w:rPr>
          <w:rFonts w:ascii="Calibri" w:eastAsia="Times New Roman" w:hAnsi="Calibri" w:cs="Times New Roman"/>
          <w:color w:val="auto"/>
          <w:sz w:val="22"/>
          <w:szCs w:val="20"/>
          <w:lang w:val="en-US" w:bidi="en-US"/>
        </w:rPr>
        <w:t>he Maï-Ndom</w:t>
      </w:r>
      <w:r>
        <w:rPr>
          <w:rFonts w:ascii="Calibri" w:eastAsia="Times New Roman" w:hAnsi="Calibri" w:cs="Times New Roman"/>
          <w:color w:val="auto"/>
          <w:sz w:val="22"/>
          <w:szCs w:val="20"/>
          <w:lang w:val="en-US" w:bidi="en-US"/>
        </w:rPr>
        <w:t xml:space="preserve">be Emission Reductions </w:t>
      </w:r>
      <w:proofErr w:type="spellStart"/>
      <w:r>
        <w:rPr>
          <w:rFonts w:ascii="Calibri" w:eastAsia="Times New Roman" w:hAnsi="Calibri" w:cs="Times New Roman"/>
          <w:color w:val="auto"/>
          <w:sz w:val="22"/>
          <w:szCs w:val="20"/>
          <w:lang w:val="en-US" w:bidi="en-US"/>
        </w:rPr>
        <w:t>Program.FRMi</w:t>
      </w:r>
      <w:proofErr w:type="spellEnd"/>
      <w:r>
        <w:rPr>
          <w:rFonts w:ascii="Calibri" w:eastAsia="Times New Roman" w:hAnsi="Calibri" w:cs="Times New Roman"/>
          <w:color w:val="auto"/>
          <w:sz w:val="22"/>
          <w:szCs w:val="20"/>
          <w:lang w:val="en-US" w:bidi="en-US"/>
        </w:rPr>
        <w:t xml:space="preserve">, </w:t>
      </w:r>
      <w:proofErr w:type="spellStart"/>
      <w:r>
        <w:rPr>
          <w:rFonts w:ascii="Calibri" w:eastAsia="Times New Roman" w:hAnsi="Calibri" w:cs="Times New Roman"/>
          <w:color w:val="auto"/>
          <w:sz w:val="22"/>
          <w:szCs w:val="20"/>
          <w:lang w:val="en-US" w:bidi="en-US"/>
        </w:rPr>
        <w:t>Monpellier</w:t>
      </w:r>
      <w:proofErr w:type="spellEnd"/>
      <w:r>
        <w:rPr>
          <w:rFonts w:ascii="Calibri" w:eastAsia="Times New Roman" w:hAnsi="Calibri" w:cs="Times New Roman"/>
          <w:color w:val="auto"/>
          <w:sz w:val="22"/>
          <w:szCs w:val="20"/>
          <w:lang w:val="en-US" w:bidi="en-US"/>
        </w:rPr>
        <w:t>, France.</w:t>
      </w:r>
    </w:p>
  </w:footnote>
  <w:footnote w:id="3">
    <w:p w:rsidR="00F20EB5" w:rsidRPr="003752E6" w:rsidRDefault="00F20EB5" w:rsidP="003752E6">
      <w:pPr>
        <w:rPr>
          <w:rFonts w:ascii="Times New Roman" w:eastAsia="Times New Roman" w:hAnsi="Times New Roman" w:cs="Times New Roman"/>
          <w:sz w:val="18"/>
          <w:szCs w:val="18"/>
          <w:lang w:val="en-US" w:eastAsia="de-DE"/>
        </w:rPr>
      </w:pPr>
      <w:r>
        <w:rPr>
          <w:rStyle w:val="FootnoteReference"/>
        </w:rPr>
        <w:footnoteRef/>
      </w:r>
      <w:proofErr w:type="spellStart"/>
      <w:r w:rsidRPr="003752E6">
        <w:rPr>
          <w:lang w:val="en-US"/>
        </w:rPr>
        <w:t>Griscom</w:t>
      </w:r>
      <w:proofErr w:type="spellEnd"/>
      <w:r w:rsidRPr="003752E6">
        <w:rPr>
          <w:lang w:val="en-US"/>
        </w:rPr>
        <w:t xml:space="preserve">, B.; Ellis, P.; </w:t>
      </w:r>
      <w:proofErr w:type="spellStart"/>
      <w:r w:rsidRPr="003752E6">
        <w:rPr>
          <w:lang w:val="en-US"/>
        </w:rPr>
        <w:t>Putz</w:t>
      </w:r>
      <w:proofErr w:type="spellEnd"/>
      <w:r w:rsidRPr="003752E6">
        <w:rPr>
          <w:lang w:val="en-US"/>
        </w:rPr>
        <w:t xml:space="preserve">, E.F. (2014) </w:t>
      </w:r>
      <w:r w:rsidRPr="008A3560">
        <w:rPr>
          <w:rFonts w:eastAsia="Times New Roman" w:cs="Times New Roman"/>
          <w:szCs w:val="20"/>
          <w:lang w:val="en-US" w:bidi="en-US"/>
        </w:rPr>
        <w:t xml:space="preserve">Carbon emissions performance of commercial logging </w:t>
      </w:r>
      <w:proofErr w:type="spellStart"/>
      <w:r w:rsidRPr="008A3560">
        <w:rPr>
          <w:rFonts w:eastAsia="Times New Roman" w:cs="Times New Roman"/>
          <w:szCs w:val="20"/>
          <w:lang w:val="en-US" w:bidi="en-US"/>
        </w:rPr>
        <w:t>inEast</w:t>
      </w:r>
      <w:proofErr w:type="spellEnd"/>
      <w:r w:rsidRPr="008A3560">
        <w:rPr>
          <w:rFonts w:eastAsia="Times New Roman" w:cs="Times New Roman"/>
          <w:szCs w:val="20"/>
          <w:lang w:val="en-US" w:bidi="en-US"/>
        </w:rPr>
        <w:t xml:space="preserve"> Kalimantan, </w:t>
      </w:r>
      <w:r w:rsidRPr="003752E6">
        <w:rPr>
          <w:lang w:val="en-US"/>
        </w:rPr>
        <w:t>Indonesia. Global Chang</w:t>
      </w:r>
      <w:r>
        <w:rPr>
          <w:lang w:val="en-US"/>
        </w:rPr>
        <w:t>e Biology (2014) 20, , 923–937</w:t>
      </w:r>
    </w:p>
  </w:footnote>
  <w:footnote w:id="4">
    <w:p w:rsidR="00F20EB5" w:rsidRPr="003752E6" w:rsidRDefault="00F20EB5">
      <w:pPr>
        <w:pStyle w:val="FootnoteText"/>
      </w:pPr>
      <w:r>
        <w:rPr>
          <w:rStyle w:val="FootnoteReference"/>
        </w:rPr>
        <w:footnoteRef/>
      </w:r>
      <w:r w:rsidRPr="003752E6">
        <w:t>http://database.v-c-s.org/methodologies/methodology-improved-forest-management-through-reduced-impact-logging-v10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4C6"/>
    <w:multiLevelType w:val="hybridMultilevel"/>
    <w:tmpl w:val="6094A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A684A"/>
    <w:multiLevelType w:val="hybridMultilevel"/>
    <w:tmpl w:val="4DFEA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5640D"/>
    <w:multiLevelType w:val="hybridMultilevel"/>
    <w:tmpl w:val="0B2C1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17E0D"/>
    <w:multiLevelType w:val="hybridMultilevel"/>
    <w:tmpl w:val="32507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A1467"/>
    <w:multiLevelType w:val="hybridMultilevel"/>
    <w:tmpl w:val="C81EADA2"/>
    <w:lvl w:ilvl="0" w:tplc="CE36787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06421"/>
    <w:multiLevelType w:val="hybridMultilevel"/>
    <w:tmpl w:val="27262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33651"/>
    <w:multiLevelType w:val="hybridMultilevel"/>
    <w:tmpl w:val="0B2C1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5D128B"/>
    <w:multiLevelType w:val="hybridMultilevel"/>
    <w:tmpl w:val="1E308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E17404"/>
    <w:multiLevelType w:val="hybridMultilevel"/>
    <w:tmpl w:val="12F0E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732EC6"/>
    <w:multiLevelType w:val="hybridMultilevel"/>
    <w:tmpl w:val="5A38A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8716A9"/>
    <w:multiLevelType w:val="hybridMultilevel"/>
    <w:tmpl w:val="FC669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2B64BF"/>
    <w:multiLevelType w:val="hybridMultilevel"/>
    <w:tmpl w:val="F5E634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57007E"/>
    <w:multiLevelType w:val="hybridMultilevel"/>
    <w:tmpl w:val="8B62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5"/>
  </w:num>
  <w:num w:numId="6">
    <w:abstractNumId w:val="4"/>
  </w:num>
  <w:num w:numId="7">
    <w:abstractNumId w:val="9"/>
  </w:num>
  <w:num w:numId="8">
    <w:abstractNumId w:val="12"/>
  </w:num>
  <w:num w:numId="9">
    <w:abstractNumId w:val="7"/>
  </w:num>
  <w:num w:numId="10">
    <w:abstractNumId w:val="0"/>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9A"/>
    <w:rsid w:val="00004245"/>
    <w:rsid w:val="00016A57"/>
    <w:rsid w:val="00030B9B"/>
    <w:rsid w:val="000446E7"/>
    <w:rsid w:val="00045347"/>
    <w:rsid w:val="00045DEC"/>
    <w:rsid w:val="00046E09"/>
    <w:rsid w:val="00053C6F"/>
    <w:rsid w:val="00062E9C"/>
    <w:rsid w:val="00092F26"/>
    <w:rsid w:val="000931BA"/>
    <w:rsid w:val="000A12E1"/>
    <w:rsid w:val="000B1D43"/>
    <w:rsid w:val="000C0371"/>
    <w:rsid w:val="000D235E"/>
    <w:rsid w:val="000D37D8"/>
    <w:rsid w:val="000F1ED6"/>
    <w:rsid w:val="001248A4"/>
    <w:rsid w:val="00147857"/>
    <w:rsid w:val="0015031A"/>
    <w:rsid w:val="0015368D"/>
    <w:rsid w:val="001552FD"/>
    <w:rsid w:val="00155CA5"/>
    <w:rsid w:val="00193182"/>
    <w:rsid w:val="001C0CD0"/>
    <w:rsid w:val="001C26D9"/>
    <w:rsid w:val="001D2E0C"/>
    <w:rsid w:val="001D4FBA"/>
    <w:rsid w:val="001E0FB2"/>
    <w:rsid w:val="001E7E45"/>
    <w:rsid w:val="00220040"/>
    <w:rsid w:val="00225A8B"/>
    <w:rsid w:val="00255EA3"/>
    <w:rsid w:val="0025694B"/>
    <w:rsid w:val="00274D72"/>
    <w:rsid w:val="00281F44"/>
    <w:rsid w:val="00293C38"/>
    <w:rsid w:val="002A573F"/>
    <w:rsid w:val="002A6A27"/>
    <w:rsid w:val="002B26FB"/>
    <w:rsid w:val="002B6A98"/>
    <w:rsid w:val="002C0F5D"/>
    <w:rsid w:val="002C157C"/>
    <w:rsid w:val="002C7A35"/>
    <w:rsid w:val="002D09B8"/>
    <w:rsid w:val="002D3BE1"/>
    <w:rsid w:val="0030087E"/>
    <w:rsid w:val="00304B36"/>
    <w:rsid w:val="00304F7D"/>
    <w:rsid w:val="003052AB"/>
    <w:rsid w:val="00307535"/>
    <w:rsid w:val="00312529"/>
    <w:rsid w:val="00312DBE"/>
    <w:rsid w:val="003163FC"/>
    <w:rsid w:val="003516CE"/>
    <w:rsid w:val="00356B98"/>
    <w:rsid w:val="00363D11"/>
    <w:rsid w:val="003752E6"/>
    <w:rsid w:val="003771EE"/>
    <w:rsid w:val="00383376"/>
    <w:rsid w:val="00386F0E"/>
    <w:rsid w:val="003B153C"/>
    <w:rsid w:val="003C081D"/>
    <w:rsid w:val="003D5BB3"/>
    <w:rsid w:val="003D607B"/>
    <w:rsid w:val="003F712D"/>
    <w:rsid w:val="00401D8D"/>
    <w:rsid w:val="00403419"/>
    <w:rsid w:val="0041106F"/>
    <w:rsid w:val="0042586D"/>
    <w:rsid w:val="00435D79"/>
    <w:rsid w:val="00452C45"/>
    <w:rsid w:val="00454C4B"/>
    <w:rsid w:val="00455F11"/>
    <w:rsid w:val="004749B8"/>
    <w:rsid w:val="00475A4A"/>
    <w:rsid w:val="0047665D"/>
    <w:rsid w:val="004872F3"/>
    <w:rsid w:val="00497DC8"/>
    <w:rsid w:val="004A6030"/>
    <w:rsid w:val="004A608C"/>
    <w:rsid w:val="004C2D3B"/>
    <w:rsid w:val="004C361A"/>
    <w:rsid w:val="004E3A26"/>
    <w:rsid w:val="004F0C55"/>
    <w:rsid w:val="004F5F29"/>
    <w:rsid w:val="00505332"/>
    <w:rsid w:val="0051393C"/>
    <w:rsid w:val="005320DD"/>
    <w:rsid w:val="0053780C"/>
    <w:rsid w:val="00543389"/>
    <w:rsid w:val="00593758"/>
    <w:rsid w:val="005A2D54"/>
    <w:rsid w:val="005C43C0"/>
    <w:rsid w:val="005C73A4"/>
    <w:rsid w:val="005D6037"/>
    <w:rsid w:val="005D726C"/>
    <w:rsid w:val="005F585C"/>
    <w:rsid w:val="005F59CC"/>
    <w:rsid w:val="005F60C0"/>
    <w:rsid w:val="00601CC6"/>
    <w:rsid w:val="0063075E"/>
    <w:rsid w:val="006334B4"/>
    <w:rsid w:val="006433A7"/>
    <w:rsid w:val="00681F8F"/>
    <w:rsid w:val="006930D2"/>
    <w:rsid w:val="00693478"/>
    <w:rsid w:val="006A42A0"/>
    <w:rsid w:val="006A77DB"/>
    <w:rsid w:val="006B33CB"/>
    <w:rsid w:val="006B5AF1"/>
    <w:rsid w:val="006C0619"/>
    <w:rsid w:val="006C0F90"/>
    <w:rsid w:val="006F2F18"/>
    <w:rsid w:val="006F40BC"/>
    <w:rsid w:val="00702C8D"/>
    <w:rsid w:val="007067CF"/>
    <w:rsid w:val="00707322"/>
    <w:rsid w:val="007145CE"/>
    <w:rsid w:val="007211E9"/>
    <w:rsid w:val="007230F5"/>
    <w:rsid w:val="00732AC1"/>
    <w:rsid w:val="0077070C"/>
    <w:rsid w:val="007839F5"/>
    <w:rsid w:val="00783F85"/>
    <w:rsid w:val="007921AF"/>
    <w:rsid w:val="007A4F73"/>
    <w:rsid w:val="007B498E"/>
    <w:rsid w:val="007C3619"/>
    <w:rsid w:val="007D4905"/>
    <w:rsid w:val="007D4F9B"/>
    <w:rsid w:val="007E1C90"/>
    <w:rsid w:val="00814893"/>
    <w:rsid w:val="00814B9A"/>
    <w:rsid w:val="00814D33"/>
    <w:rsid w:val="008162E8"/>
    <w:rsid w:val="008422C3"/>
    <w:rsid w:val="0085477C"/>
    <w:rsid w:val="00861CD2"/>
    <w:rsid w:val="00861FF2"/>
    <w:rsid w:val="00870B7E"/>
    <w:rsid w:val="008903D1"/>
    <w:rsid w:val="008A0629"/>
    <w:rsid w:val="008A3560"/>
    <w:rsid w:val="008A5691"/>
    <w:rsid w:val="008A7E6A"/>
    <w:rsid w:val="008B126F"/>
    <w:rsid w:val="008B6ABD"/>
    <w:rsid w:val="008C4D2E"/>
    <w:rsid w:val="008D2C78"/>
    <w:rsid w:val="008D3E0B"/>
    <w:rsid w:val="008D7017"/>
    <w:rsid w:val="008E5412"/>
    <w:rsid w:val="008F2F5C"/>
    <w:rsid w:val="008F4993"/>
    <w:rsid w:val="00901BFC"/>
    <w:rsid w:val="0092766F"/>
    <w:rsid w:val="00944E85"/>
    <w:rsid w:val="00977210"/>
    <w:rsid w:val="009A2314"/>
    <w:rsid w:val="009A6E15"/>
    <w:rsid w:val="009D1BD0"/>
    <w:rsid w:val="00A11175"/>
    <w:rsid w:val="00A139BF"/>
    <w:rsid w:val="00A13B96"/>
    <w:rsid w:val="00A17081"/>
    <w:rsid w:val="00A27FE2"/>
    <w:rsid w:val="00A45B0F"/>
    <w:rsid w:val="00A47F70"/>
    <w:rsid w:val="00A53240"/>
    <w:rsid w:val="00A846A3"/>
    <w:rsid w:val="00AA2683"/>
    <w:rsid w:val="00AD417B"/>
    <w:rsid w:val="00AE63D2"/>
    <w:rsid w:val="00B13745"/>
    <w:rsid w:val="00B30865"/>
    <w:rsid w:val="00B40248"/>
    <w:rsid w:val="00B61F50"/>
    <w:rsid w:val="00BA61FC"/>
    <w:rsid w:val="00BD4858"/>
    <w:rsid w:val="00BE1E4B"/>
    <w:rsid w:val="00BF696C"/>
    <w:rsid w:val="00BF701E"/>
    <w:rsid w:val="00C12CC5"/>
    <w:rsid w:val="00C559E9"/>
    <w:rsid w:val="00C561A2"/>
    <w:rsid w:val="00C60774"/>
    <w:rsid w:val="00C61798"/>
    <w:rsid w:val="00C61D51"/>
    <w:rsid w:val="00C96A84"/>
    <w:rsid w:val="00C975DA"/>
    <w:rsid w:val="00CC0C37"/>
    <w:rsid w:val="00CD61D6"/>
    <w:rsid w:val="00D104A2"/>
    <w:rsid w:val="00D11B5D"/>
    <w:rsid w:val="00D24AB4"/>
    <w:rsid w:val="00D51334"/>
    <w:rsid w:val="00D63776"/>
    <w:rsid w:val="00D91B10"/>
    <w:rsid w:val="00DA7A96"/>
    <w:rsid w:val="00DC688B"/>
    <w:rsid w:val="00DD0567"/>
    <w:rsid w:val="00DD1007"/>
    <w:rsid w:val="00DD14C1"/>
    <w:rsid w:val="00DE33E5"/>
    <w:rsid w:val="00E07B03"/>
    <w:rsid w:val="00E2596C"/>
    <w:rsid w:val="00E4440C"/>
    <w:rsid w:val="00E55AFB"/>
    <w:rsid w:val="00E61ED5"/>
    <w:rsid w:val="00E9250B"/>
    <w:rsid w:val="00E9710F"/>
    <w:rsid w:val="00EA3517"/>
    <w:rsid w:val="00EB71A9"/>
    <w:rsid w:val="00ED407B"/>
    <w:rsid w:val="00EE1AA9"/>
    <w:rsid w:val="00F0569E"/>
    <w:rsid w:val="00F20EB5"/>
    <w:rsid w:val="00F33689"/>
    <w:rsid w:val="00F414F7"/>
    <w:rsid w:val="00F42A42"/>
    <w:rsid w:val="00F55CD7"/>
    <w:rsid w:val="00F64464"/>
    <w:rsid w:val="00F74777"/>
    <w:rsid w:val="00F8531D"/>
    <w:rsid w:val="00F85F86"/>
    <w:rsid w:val="00F910FC"/>
    <w:rsid w:val="00F937D6"/>
    <w:rsid w:val="00F955B6"/>
    <w:rsid w:val="00F96140"/>
    <w:rsid w:val="00FB18F0"/>
    <w:rsid w:val="00FB69B2"/>
    <w:rsid w:val="00FB7BBD"/>
    <w:rsid w:val="00FC3031"/>
    <w:rsid w:val="00FD4AEA"/>
    <w:rsid w:val="00FE35CF"/>
    <w:rsid w:val="00FF1BCE"/>
    <w:rsid w:val="00FF4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D4C84D-E487-40D0-871E-7D3E0FA9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Ha"/>
    <w:basedOn w:val="Normal"/>
    <w:link w:val="ListParagraphChar"/>
    <w:uiPriority w:val="34"/>
    <w:qFormat/>
    <w:rsid w:val="00814B9A"/>
    <w:pPr>
      <w:ind w:left="720"/>
      <w:contextualSpacing/>
    </w:pPr>
  </w:style>
  <w:style w:type="table" w:styleId="TableGrid">
    <w:name w:val="Table Grid"/>
    <w:basedOn w:val="TableNormal"/>
    <w:uiPriority w:val="59"/>
    <w:rsid w:val="007D4F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3">
    <w:name w:val="Medium Shading 1 Accent 3"/>
    <w:basedOn w:val="TableNormal"/>
    <w:uiPriority w:val="63"/>
    <w:rsid w:val="000D37D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single space,fn,FOOTNOTES,A"/>
    <w:basedOn w:val="Normal"/>
    <w:link w:val="FootnoteTextChar"/>
    <w:uiPriority w:val="99"/>
    <w:qFormat/>
    <w:rsid w:val="007D4905"/>
    <w:pPr>
      <w:spacing w:after="120" w:line="240" w:lineRule="auto"/>
      <w:jc w:val="both"/>
    </w:pPr>
    <w:rPr>
      <w:rFonts w:eastAsia="Times New Roman" w:cs="Times New Roman"/>
      <w:szCs w:val="20"/>
      <w:lang w:val="en-US" w:bidi="en-US"/>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single space Char"/>
    <w:basedOn w:val="DefaultParagraphFont"/>
    <w:link w:val="FootnoteText"/>
    <w:uiPriority w:val="99"/>
    <w:rsid w:val="007D4905"/>
    <w:rPr>
      <w:rFonts w:eastAsia="Times New Roman" w:cs="Times New Roman"/>
      <w:szCs w:val="20"/>
      <w:lang w:val="en-US" w:bidi="en-US"/>
    </w:rPr>
  </w:style>
  <w:style w:type="character" w:styleId="FootnoteReference">
    <w:name w:val="footnote reference"/>
    <w:aliases w:val="16 Point,Superscript 6 Point,SUPERS,E FNZ,-E Fußnotenzeichen,Footnote#,number,Footnote reference number,Footnote symbol,note TESI,ftref,Footnote Reference1,heading1,fr,(NECG) Footnote Reference,Ref,de nota al pie,footnote ref,note bp"/>
    <w:link w:val="16PointChar"/>
    <w:qFormat/>
    <w:rsid w:val="007D490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rsid w:val="007D4905"/>
    <w:pPr>
      <w:spacing w:after="160" w:line="240" w:lineRule="exact"/>
    </w:pPr>
    <w:rPr>
      <w:vertAlign w:val="superscript"/>
    </w:rPr>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34"/>
    <w:rsid w:val="008903D1"/>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F7"/>
    <w:rPr>
      <w:rFonts w:ascii="Tahoma" w:hAnsi="Tahoma" w:cs="Tahoma"/>
      <w:sz w:val="16"/>
      <w:szCs w:val="16"/>
    </w:rPr>
  </w:style>
  <w:style w:type="paragraph" w:styleId="NoSpacing">
    <w:name w:val="No Spacing"/>
    <w:uiPriority w:val="1"/>
    <w:qFormat/>
    <w:rsid w:val="00AD417B"/>
    <w:pPr>
      <w:spacing w:after="0" w:line="240" w:lineRule="auto"/>
    </w:pPr>
  </w:style>
  <w:style w:type="table" w:styleId="LightGrid-Accent3">
    <w:name w:val="Light Grid Accent 3"/>
    <w:basedOn w:val="TableNormal"/>
    <w:uiPriority w:val="62"/>
    <w:rsid w:val="0022004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1C26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9633">
      <w:bodyDiv w:val="1"/>
      <w:marLeft w:val="0"/>
      <w:marRight w:val="0"/>
      <w:marTop w:val="0"/>
      <w:marBottom w:val="0"/>
      <w:divBdr>
        <w:top w:val="none" w:sz="0" w:space="0" w:color="auto"/>
        <w:left w:val="none" w:sz="0" w:space="0" w:color="auto"/>
        <w:bottom w:val="none" w:sz="0" w:space="0" w:color="auto"/>
        <w:right w:val="none" w:sz="0" w:space="0" w:color="auto"/>
      </w:divBdr>
      <w:divsChild>
        <w:div w:id="1656491024">
          <w:marLeft w:val="0"/>
          <w:marRight w:val="0"/>
          <w:marTop w:val="0"/>
          <w:marBottom w:val="0"/>
          <w:divBdr>
            <w:top w:val="none" w:sz="0" w:space="0" w:color="auto"/>
            <w:left w:val="none" w:sz="0" w:space="0" w:color="auto"/>
            <w:bottom w:val="none" w:sz="0" w:space="0" w:color="auto"/>
            <w:right w:val="none" w:sz="0" w:space="0" w:color="auto"/>
          </w:divBdr>
        </w:div>
        <w:div w:id="1194726362">
          <w:marLeft w:val="0"/>
          <w:marRight w:val="0"/>
          <w:marTop w:val="0"/>
          <w:marBottom w:val="0"/>
          <w:divBdr>
            <w:top w:val="none" w:sz="0" w:space="0" w:color="auto"/>
            <w:left w:val="none" w:sz="0" w:space="0" w:color="auto"/>
            <w:bottom w:val="none" w:sz="0" w:space="0" w:color="auto"/>
            <w:right w:val="none" w:sz="0" w:space="0" w:color="auto"/>
          </w:divBdr>
        </w:div>
      </w:divsChild>
    </w:div>
    <w:div w:id="534391866">
      <w:bodyDiv w:val="1"/>
      <w:marLeft w:val="0"/>
      <w:marRight w:val="0"/>
      <w:marTop w:val="0"/>
      <w:marBottom w:val="0"/>
      <w:divBdr>
        <w:top w:val="none" w:sz="0" w:space="0" w:color="auto"/>
        <w:left w:val="none" w:sz="0" w:space="0" w:color="auto"/>
        <w:bottom w:val="none" w:sz="0" w:space="0" w:color="auto"/>
        <w:right w:val="none" w:sz="0" w:space="0" w:color="auto"/>
      </w:divBdr>
    </w:div>
    <w:div w:id="674578571">
      <w:bodyDiv w:val="1"/>
      <w:marLeft w:val="0"/>
      <w:marRight w:val="0"/>
      <w:marTop w:val="0"/>
      <w:marBottom w:val="0"/>
      <w:divBdr>
        <w:top w:val="none" w:sz="0" w:space="0" w:color="auto"/>
        <w:left w:val="none" w:sz="0" w:space="0" w:color="auto"/>
        <w:bottom w:val="none" w:sz="0" w:space="0" w:color="auto"/>
        <w:right w:val="none" w:sz="0" w:space="0" w:color="auto"/>
      </w:divBdr>
    </w:div>
    <w:div w:id="692802622">
      <w:bodyDiv w:val="1"/>
      <w:marLeft w:val="0"/>
      <w:marRight w:val="0"/>
      <w:marTop w:val="0"/>
      <w:marBottom w:val="0"/>
      <w:divBdr>
        <w:top w:val="none" w:sz="0" w:space="0" w:color="auto"/>
        <w:left w:val="none" w:sz="0" w:space="0" w:color="auto"/>
        <w:bottom w:val="none" w:sz="0" w:space="0" w:color="auto"/>
        <w:right w:val="none" w:sz="0" w:space="0" w:color="auto"/>
      </w:divBdr>
      <w:divsChild>
        <w:div w:id="674722888">
          <w:marLeft w:val="0"/>
          <w:marRight w:val="0"/>
          <w:marTop w:val="0"/>
          <w:marBottom w:val="0"/>
          <w:divBdr>
            <w:top w:val="none" w:sz="0" w:space="0" w:color="auto"/>
            <w:left w:val="none" w:sz="0" w:space="0" w:color="auto"/>
            <w:bottom w:val="none" w:sz="0" w:space="0" w:color="auto"/>
            <w:right w:val="none" w:sz="0" w:space="0" w:color="auto"/>
          </w:divBdr>
        </w:div>
        <w:div w:id="602037883">
          <w:marLeft w:val="0"/>
          <w:marRight w:val="0"/>
          <w:marTop w:val="0"/>
          <w:marBottom w:val="0"/>
          <w:divBdr>
            <w:top w:val="none" w:sz="0" w:space="0" w:color="auto"/>
            <w:left w:val="none" w:sz="0" w:space="0" w:color="auto"/>
            <w:bottom w:val="none" w:sz="0" w:space="0" w:color="auto"/>
            <w:right w:val="none" w:sz="0" w:space="0" w:color="auto"/>
          </w:divBdr>
        </w:div>
      </w:divsChild>
    </w:div>
    <w:div w:id="1071780816">
      <w:bodyDiv w:val="1"/>
      <w:marLeft w:val="0"/>
      <w:marRight w:val="0"/>
      <w:marTop w:val="0"/>
      <w:marBottom w:val="0"/>
      <w:divBdr>
        <w:top w:val="none" w:sz="0" w:space="0" w:color="auto"/>
        <w:left w:val="none" w:sz="0" w:space="0" w:color="auto"/>
        <w:bottom w:val="none" w:sz="0" w:space="0" w:color="auto"/>
        <w:right w:val="none" w:sz="0" w:space="0" w:color="auto"/>
      </w:divBdr>
      <w:divsChild>
        <w:div w:id="2005014456">
          <w:marLeft w:val="0"/>
          <w:marRight w:val="0"/>
          <w:marTop w:val="0"/>
          <w:marBottom w:val="0"/>
          <w:divBdr>
            <w:top w:val="none" w:sz="0" w:space="0" w:color="auto"/>
            <w:left w:val="none" w:sz="0" w:space="0" w:color="auto"/>
            <w:bottom w:val="none" w:sz="0" w:space="0" w:color="auto"/>
            <w:right w:val="none" w:sz="0" w:space="0" w:color="auto"/>
          </w:divBdr>
        </w:div>
        <w:div w:id="79958464">
          <w:marLeft w:val="0"/>
          <w:marRight w:val="0"/>
          <w:marTop w:val="0"/>
          <w:marBottom w:val="0"/>
          <w:divBdr>
            <w:top w:val="none" w:sz="0" w:space="0" w:color="auto"/>
            <w:left w:val="none" w:sz="0" w:space="0" w:color="auto"/>
            <w:bottom w:val="none" w:sz="0" w:space="0" w:color="auto"/>
            <w:right w:val="none" w:sz="0" w:space="0" w:color="auto"/>
          </w:divBdr>
        </w:div>
        <w:div w:id="162596139">
          <w:marLeft w:val="0"/>
          <w:marRight w:val="0"/>
          <w:marTop w:val="0"/>
          <w:marBottom w:val="0"/>
          <w:divBdr>
            <w:top w:val="none" w:sz="0" w:space="0" w:color="auto"/>
            <w:left w:val="none" w:sz="0" w:space="0" w:color="auto"/>
            <w:bottom w:val="none" w:sz="0" w:space="0" w:color="auto"/>
            <w:right w:val="none" w:sz="0" w:space="0" w:color="auto"/>
          </w:divBdr>
        </w:div>
      </w:divsChild>
    </w:div>
    <w:div w:id="1322540694">
      <w:bodyDiv w:val="1"/>
      <w:marLeft w:val="0"/>
      <w:marRight w:val="0"/>
      <w:marTop w:val="0"/>
      <w:marBottom w:val="0"/>
      <w:divBdr>
        <w:top w:val="none" w:sz="0" w:space="0" w:color="auto"/>
        <w:left w:val="none" w:sz="0" w:space="0" w:color="auto"/>
        <w:bottom w:val="none" w:sz="0" w:space="0" w:color="auto"/>
        <w:right w:val="none" w:sz="0" w:space="0" w:color="auto"/>
      </w:divBdr>
    </w:div>
    <w:div w:id="17372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2204-E6EA-4871-A09C-0C3479F5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3700</Words>
  <Characters>20353</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Bruno Perodeau</cp:lastModifiedBy>
  <cp:revision>2</cp:revision>
  <dcterms:created xsi:type="dcterms:W3CDTF">2017-07-05T14:11:00Z</dcterms:created>
  <dcterms:modified xsi:type="dcterms:W3CDTF">2017-07-05T14:11:00Z</dcterms:modified>
</cp:coreProperties>
</file>