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blpXSpec="center" w:tblpYSpec="top"/>
        <w:tblOverlap w:val="never"/>
        <w:tblW w:w="5092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413"/>
      </w:tblGrid>
      <w:tr w:rsidR="00CF4771" w:rsidRPr="003A150D" w:rsidTr="000D4F46">
        <w:trPr>
          <w:jc w:val="center"/>
        </w:trPr>
        <w:tc>
          <w:tcPr>
            <w:tcW w:w="9752" w:type="dxa"/>
          </w:tcPr>
          <w:p w:rsidR="00CF4771" w:rsidRPr="00C759EA" w:rsidRDefault="004D51F4">
            <w:pPr>
              <w:pStyle w:val="HeaderFirstPage"/>
              <w:pBdr>
                <w:bottom w:val="none" w:sz="0" w:space="0" w:color="auto"/>
              </w:pBdr>
              <w:rPr>
                <w:b/>
                <w:color w:val="3E5D78" w:themeColor="accent2" w:themeShade="80"/>
                <w:lang w:val="en-GB"/>
              </w:rPr>
            </w:pPr>
            <w:bookmarkStart w:id="0" w:name="_GoBack"/>
            <w:bookmarkEnd w:id="0"/>
            <w:r w:rsidRPr="00C759EA">
              <w:rPr>
                <w:b/>
                <w:color w:val="3E5D78" w:themeColor="accent2" w:themeShade="80"/>
                <w:lang w:val="en-GB"/>
              </w:rPr>
              <w:t xml:space="preserve">WWF DAP: Information sheet </w:t>
            </w:r>
            <w:r w:rsidR="008B003F" w:rsidRPr="00C759EA">
              <w:rPr>
                <w:b/>
                <w:color w:val="3E5D78" w:themeColor="accent2" w:themeShade="80"/>
                <w:lang w:val="en-GB"/>
              </w:rPr>
              <w:t xml:space="preserve">on using the protected areas benefits assessment tool number </w:t>
            </w:r>
            <w:r w:rsidR="00640AD0">
              <w:rPr>
                <w:b/>
                <w:color w:val="3E5D78" w:themeColor="accent2" w:themeShade="80"/>
                <w:lang w:val="en-GB"/>
              </w:rPr>
              <w:t>3</w:t>
            </w:r>
          </w:p>
        </w:tc>
      </w:tr>
    </w:tbl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30"/>
      </w:tblGrid>
      <w:tr w:rsidR="00CF4771" w:rsidRPr="003A150D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CF4771" w:rsidRPr="003A150D" w:rsidRDefault="00CF4771">
            <w:pPr>
              <w:rPr>
                <w:lang w:val="en-GB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F1693" w:rsidRPr="003A150D" w:rsidRDefault="00640AD0">
            <w:pPr>
              <w:pStyle w:val="Section"/>
              <w:rPr>
                <w:lang w:val="en-GB"/>
              </w:rPr>
            </w:pPr>
            <w:r>
              <w:rPr>
                <w:sz w:val="36"/>
                <w:lang w:val="en-GB"/>
              </w:rPr>
              <w:t xml:space="preserve">Using </w:t>
            </w:r>
            <w:r w:rsidR="00B31CE6">
              <w:rPr>
                <w:sz w:val="36"/>
                <w:lang w:val="en-GB"/>
              </w:rPr>
              <w:t xml:space="preserve">the </w:t>
            </w:r>
            <w:r w:rsidR="00BF1693" w:rsidRPr="003A150D">
              <w:rPr>
                <w:sz w:val="36"/>
                <w:lang w:val="en-GB"/>
              </w:rPr>
              <w:t xml:space="preserve">PA-BAT </w:t>
            </w:r>
            <w:r>
              <w:rPr>
                <w:sz w:val="36"/>
                <w:lang w:val="en-GB"/>
              </w:rPr>
              <w:t>in communication strategies</w:t>
            </w:r>
          </w:p>
          <w:p w:rsidR="00BF1693" w:rsidRPr="003A150D" w:rsidRDefault="00BF1693">
            <w:pPr>
              <w:pStyle w:val="Section"/>
              <w:rPr>
                <w:lang w:val="en-GB"/>
              </w:rPr>
            </w:pPr>
          </w:p>
          <w:p w:rsidR="00CF4771" w:rsidRPr="003A150D" w:rsidRDefault="008B003F">
            <w:pPr>
              <w:pStyle w:val="Section"/>
              <w:rPr>
                <w:lang w:val="en-GB"/>
              </w:rPr>
            </w:pPr>
            <w:r w:rsidRPr="003A150D">
              <w:rPr>
                <w:lang w:val="en-GB"/>
              </w:rPr>
              <w:t>Introduction</w:t>
            </w:r>
          </w:p>
          <w:p w:rsidR="00B11D35" w:rsidRDefault="00640AD0" w:rsidP="00640AD0">
            <w:pPr>
              <w:pStyle w:val="SubsectionText"/>
              <w:rPr>
                <w:lang w:val="en-GB"/>
              </w:rPr>
            </w:pPr>
            <w:r>
              <w:rPr>
                <w:lang w:val="en-GB"/>
              </w:rPr>
              <w:t xml:space="preserve">The PA-BAT </w:t>
            </w:r>
            <w:r w:rsidR="00751806">
              <w:rPr>
                <w:lang w:val="en-GB"/>
              </w:rPr>
              <w:t>can be</w:t>
            </w:r>
            <w:r>
              <w:rPr>
                <w:lang w:val="en-GB"/>
              </w:rPr>
              <w:t xml:space="preserve"> implemented as part of a process to develop a communication plan for a protected area or group of protected areas</w:t>
            </w:r>
            <w:r w:rsidR="007B44C3">
              <w:rPr>
                <w:lang w:val="en-GB"/>
              </w:rPr>
              <w:t>. Such a plan should</w:t>
            </w:r>
            <w:r>
              <w:rPr>
                <w:lang w:val="en-GB"/>
              </w:rPr>
              <w:t xml:space="preserve"> aim to </w:t>
            </w:r>
            <w:r w:rsidRPr="00640AD0">
              <w:rPr>
                <w:lang w:val="en-GB"/>
              </w:rPr>
              <w:t xml:space="preserve">increase the understanding and awareness amongst (target) audiences about </w:t>
            </w:r>
            <w:r w:rsidR="000F1DFB">
              <w:rPr>
                <w:lang w:val="en-GB"/>
              </w:rPr>
              <w:t xml:space="preserve">specific </w:t>
            </w:r>
            <w:r w:rsidRPr="00640AD0">
              <w:rPr>
                <w:lang w:val="en-GB"/>
              </w:rPr>
              <w:t xml:space="preserve">ecosystem services and related goods provided and supported by </w:t>
            </w:r>
            <w:r w:rsidR="000F1DFB">
              <w:rPr>
                <w:lang w:val="en-GB"/>
              </w:rPr>
              <w:t>protected areas</w:t>
            </w:r>
            <w:r w:rsidRPr="00640AD0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="000F1DFB">
              <w:rPr>
                <w:lang w:val="en-GB"/>
              </w:rPr>
              <w:t>C</w:t>
            </w:r>
            <w:r>
              <w:rPr>
                <w:lang w:val="en-GB"/>
              </w:rPr>
              <w:t>ommunication plans are</w:t>
            </w:r>
            <w:r w:rsidRPr="00640AD0">
              <w:rPr>
                <w:lang w:val="en-GB"/>
              </w:rPr>
              <w:t xml:space="preserve"> often aim</w:t>
            </w:r>
            <w:r>
              <w:rPr>
                <w:lang w:val="en-GB"/>
              </w:rPr>
              <w:t>ed</w:t>
            </w:r>
            <w:r w:rsidRPr="00640AD0">
              <w:rPr>
                <w:lang w:val="en-GB"/>
              </w:rPr>
              <w:t xml:space="preserve"> </w:t>
            </w:r>
            <w:r>
              <w:rPr>
                <w:lang w:val="en-GB"/>
              </w:rPr>
              <w:t>at influencing</w:t>
            </w:r>
            <w:r w:rsidRPr="00640AD0">
              <w:rPr>
                <w:lang w:val="en-GB"/>
              </w:rPr>
              <w:t xml:space="preserve"> policy and resource allocation decisions within political, economic and social systems and institutions</w:t>
            </w:r>
            <w:r w:rsidR="000F1DFB">
              <w:rPr>
                <w:lang w:val="en-GB"/>
              </w:rPr>
              <w:t>, or at increasing local support for the protected area and it management</w:t>
            </w:r>
            <w:r w:rsidRPr="00640AD0">
              <w:rPr>
                <w:lang w:val="en-GB"/>
              </w:rPr>
              <w:t>.</w:t>
            </w:r>
          </w:p>
          <w:p w:rsidR="00CF4771" w:rsidRDefault="008B003F">
            <w:pPr>
              <w:pStyle w:val="Section"/>
              <w:rPr>
                <w:lang w:val="en-GB"/>
              </w:rPr>
            </w:pPr>
            <w:r w:rsidRPr="003A150D">
              <w:rPr>
                <w:lang w:val="en-GB"/>
              </w:rPr>
              <w:t>Using the PA-BAT Results</w:t>
            </w:r>
          </w:p>
          <w:p w:rsidR="008F62E3" w:rsidRDefault="00640AD0" w:rsidP="005A3379">
            <w:pPr>
              <w:rPr>
                <w:lang w:val="en-GB"/>
              </w:rPr>
            </w:pPr>
            <w:r w:rsidRPr="005A3379">
              <w:rPr>
                <w:lang w:val="en-GB"/>
              </w:rPr>
              <w:t>As noted in Sheet 1, the PA-BAT can highlight areas where stakeholder perceptions of values and benefits do not</w:t>
            </w:r>
            <w:r w:rsidR="005B469A" w:rsidRPr="005A3379">
              <w:rPr>
                <w:lang w:val="en-GB"/>
              </w:rPr>
              <w:t xml:space="preserve"> align with </w:t>
            </w:r>
            <w:r w:rsidR="007B44C3" w:rsidRPr="005A3379">
              <w:rPr>
                <w:lang w:val="en-GB"/>
              </w:rPr>
              <w:t xml:space="preserve">a </w:t>
            </w:r>
            <w:r w:rsidR="005B469A" w:rsidRPr="005A3379">
              <w:rPr>
                <w:lang w:val="en-GB"/>
              </w:rPr>
              <w:t>management plan</w:t>
            </w:r>
            <w:r w:rsidR="007B44C3" w:rsidRPr="005A3379">
              <w:rPr>
                <w:lang w:val="en-GB"/>
              </w:rPr>
              <w:t>’</w:t>
            </w:r>
            <w:r w:rsidR="005B469A" w:rsidRPr="005A3379">
              <w:rPr>
                <w:lang w:val="en-GB"/>
              </w:rPr>
              <w:t xml:space="preserve">s objectives. In some cases this may require managers assessing if adaptations to the management plan are required, but in others </w:t>
            </w:r>
            <w:r w:rsidR="00523E2A" w:rsidRPr="005A3379">
              <w:rPr>
                <w:lang w:val="en-GB"/>
              </w:rPr>
              <w:t xml:space="preserve">the </w:t>
            </w:r>
            <w:r w:rsidR="001C102D">
              <w:rPr>
                <w:lang w:val="en-GB"/>
              </w:rPr>
              <w:t>response</w:t>
            </w:r>
            <w:r w:rsidR="00523E2A" w:rsidRPr="005A3379">
              <w:rPr>
                <w:lang w:val="en-GB"/>
              </w:rPr>
              <w:t xml:space="preserve"> will be more </w:t>
            </w:r>
            <w:r w:rsidR="001C102D">
              <w:rPr>
                <w:lang w:val="en-GB"/>
              </w:rPr>
              <w:t>usefully aimed at</w:t>
            </w:r>
            <w:r w:rsidR="00523E2A" w:rsidRPr="005A3379">
              <w:rPr>
                <w:lang w:val="en-GB"/>
              </w:rPr>
              <w:t xml:space="preserve"> developing communication plans to increase awareness of specific values and benefits</w:t>
            </w:r>
            <w:r w:rsidR="009A3E13">
              <w:rPr>
                <w:lang w:val="en-GB"/>
              </w:rPr>
              <w:t xml:space="preserve">; </w:t>
            </w:r>
            <w:r w:rsidR="009A3E13" w:rsidRPr="005A3379">
              <w:rPr>
                <w:lang w:val="en-GB"/>
              </w:rPr>
              <w:t>(e.g. local people in terms of supporting biodiversity conservation and decreasing illegal resource use; government departments in terms of understanding wide values and benefits of protected areas and ensuring suitable resources allocated for management; resource users beyond the boundaries of the protected area who benefit from conservation activities but do not contribute to them; etc)</w:t>
            </w:r>
            <w:r w:rsidR="00523E2A" w:rsidRPr="005A3379">
              <w:rPr>
                <w:lang w:val="en-GB"/>
              </w:rPr>
              <w:t>.</w:t>
            </w:r>
            <w:r w:rsidR="00064092" w:rsidRPr="005A3379">
              <w:rPr>
                <w:lang w:val="en-GB"/>
              </w:rPr>
              <w:t xml:space="preserve"> </w:t>
            </w:r>
            <w:r w:rsidR="005A3379">
              <w:rPr>
                <w:lang w:val="en-GB"/>
              </w:rPr>
              <w:t>Communications plans usually are time-specific (e.g. a few months or one or two years) and focused on a specific achievable and measurable objective. This differs from interpretation, and educational programmes (see information sheet 5)</w:t>
            </w:r>
            <w:r w:rsidR="008F62E3">
              <w:rPr>
                <w:lang w:val="en-GB"/>
              </w:rPr>
              <w:t xml:space="preserve"> which are long-term, ongoing management processes.</w:t>
            </w:r>
            <w:r w:rsidR="005A3379">
              <w:rPr>
                <w:lang w:val="en-GB"/>
              </w:rPr>
              <w:t xml:space="preserve"> </w:t>
            </w:r>
          </w:p>
          <w:p w:rsidR="008F62E3" w:rsidRDefault="008F62E3" w:rsidP="005A3379">
            <w:pPr>
              <w:rPr>
                <w:lang w:val="en-GB"/>
              </w:rPr>
            </w:pPr>
          </w:p>
          <w:p w:rsidR="00640AD0" w:rsidRPr="005A3379" w:rsidRDefault="00523E2A" w:rsidP="005A3379">
            <w:pPr>
              <w:rPr>
                <w:lang w:val="en-GB"/>
              </w:rPr>
            </w:pPr>
            <w:r w:rsidRPr="005A3379">
              <w:rPr>
                <w:lang w:val="en-GB"/>
              </w:rPr>
              <w:t xml:space="preserve">Communication activities should focus on those actions which are most likely to reach audiences critical for achieving the goals and objectives of </w:t>
            </w:r>
            <w:r w:rsidR="00751806" w:rsidRPr="005A3379">
              <w:rPr>
                <w:lang w:val="en-GB"/>
              </w:rPr>
              <w:t>management</w:t>
            </w:r>
            <w:r w:rsidRPr="005A3379">
              <w:rPr>
                <w:lang w:val="en-GB"/>
              </w:rPr>
              <w:t xml:space="preserve">. A number of different </w:t>
            </w:r>
            <w:r w:rsidR="008F62E3">
              <w:rPr>
                <w:lang w:val="en-GB"/>
              </w:rPr>
              <w:t xml:space="preserve">communication </w:t>
            </w:r>
            <w:r w:rsidRPr="005A3379">
              <w:rPr>
                <w:lang w:val="en-GB"/>
              </w:rPr>
              <w:t xml:space="preserve">tools used to build advocacy and develop awareness </w:t>
            </w:r>
            <w:r w:rsidR="00751806" w:rsidRPr="005A3379">
              <w:rPr>
                <w:lang w:val="en-GB"/>
              </w:rPr>
              <w:t xml:space="preserve">depending on the audience and area of interest </w:t>
            </w:r>
            <w:r w:rsidRPr="005A3379">
              <w:rPr>
                <w:lang w:val="en-GB"/>
              </w:rPr>
              <w:t>are outlined in the table</w:t>
            </w:r>
            <w:r w:rsidR="008F62E3">
              <w:rPr>
                <w:lang w:val="en-GB"/>
              </w:rPr>
              <w:t xml:space="preserve"> below</w:t>
            </w:r>
            <w:r w:rsidRPr="005A3379">
              <w:rPr>
                <w:lang w:val="en-GB"/>
              </w:rPr>
              <w:t>.</w:t>
            </w:r>
            <w:r w:rsidR="005B469A" w:rsidRPr="005A3379">
              <w:rPr>
                <w:lang w:val="en-GB"/>
              </w:rPr>
              <w:t xml:space="preserve"> </w:t>
            </w:r>
          </w:p>
          <w:p w:rsidR="00751806" w:rsidRDefault="00751806" w:rsidP="00751806">
            <w:pPr>
              <w:pStyle w:val="ListParagraph"/>
              <w:ind w:left="360"/>
              <w:rPr>
                <w:lang w:val="en-GB"/>
              </w:rPr>
            </w:pPr>
          </w:p>
          <w:p w:rsidR="007B44C3" w:rsidRPr="00751806" w:rsidRDefault="007B44C3" w:rsidP="00751806">
            <w:pPr>
              <w:pStyle w:val="ListParagraph"/>
              <w:ind w:left="360"/>
              <w:rPr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243"/>
              <w:gridCol w:w="1918"/>
              <w:gridCol w:w="2252"/>
              <w:gridCol w:w="2897"/>
            </w:tblGrid>
            <w:tr w:rsidR="001121C0" w:rsidRPr="00271707" w:rsidTr="001121C0">
              <w:trPr>
                <w:trHeight w:val="194"/>
                <w:tblHeader/>
              </w:trPr>
              <w:tc>
                <w:tcPr>
                  <w:tcW w:w="1243" w:type="dxa"/>
                  <w:shd w:val="clear" w:color="auto" w:fill="E6E6E6"/>
                </w:tcPr>
                <w:p w:rsidR="002D6A5C" w:rsidRPr="00271707" w:rsidRDefault="002D6A5C" w:rsidP="00064092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271707">
                    <w:rPr>
                      <w:rFonts w:cstheme="minorHAnsi"/>
                      <w:b/>
                      <w:bCs/>
                    </w:rPr>
                    <w:t>Audience</w:t>
                  </w:r>
                </w:p>
              </w:tc>
              <w:tc>
                <w:tcPr>
                  <w:tcW w:w="1918" w:type="dxa"/>
                  <w:shd w:val="clear" w:color="auto" w:fill="E6E6E6"/>
                </w:tcPr>
                <w:p w:rsidR="002D6A5C" w:rsidRPr="00271707" w:rsidRDefault="002D6A5C" w:rsidP="00064092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271707">
                    <w:rPr>
                      <w:rFonts w:cstheme="minorHAnsi"/>
                      <w:b/>
                      <w:bCs/>
                    </w:rPr>
                    <w:t>Interest in PAs</w:t>
                  </w:r>
                </w:p>
              </w:tc>
              <w:tc>
                <w:tcPr>
                  <w:tcW w:w="2252" w:type="dxa"/>
                  <w:shd w:val="clear" w:color="auto" w:fill="E6E6E6"/>
                </w:tcPr>
                <w:p w:rsidR="002D6A5C" w:rsidRPr="00271707" w:rsidRDefault="002D6A5C" w:rsidP="00064092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271707">
                    <w:rPr>
                      <w:rFonts w:cstheme="minorHAnsi"/>
                      <w:b/>
                      <w:bCs/>
                    </w:rPr>
                    <w:t xml:space="preserve">Use of </w:t>
                  </w:r>
                  <w:r w:rsidR="00064092">
                    <w:rPr>
                      <w:rFonts w:cstheme="minorHAnsi"/>
                      <w:b/>
                      <w:bCs/>
                    </w:rPr>
                    <w:t>PA-BAT</w:t>
                  </w:r>
                </w:p>
              </w:tc>
              <w:tc>
                <w:tcPr>
                  <w:tcW w:w="2897" w:type="dxa"/>
                  <w:shd w:val="clear" w:color="auto" w:fill="E6E6E6"/>
                </w:tcPr>
                <w:p w:rsidR="002D6A5C" w:rsidRPr="00271707" w:rsidRDefault="002D6A5C" w:rsidP="00064092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271707">
                    <w:rPr>
                      <w:rFonts w:cstheme="minorHAnsi"/>
                      <w:b/>
                      <w:bCs/>
                    </w:rPr>
                    <w:t>Communication tools</w:t>
                  </w:r>
                </w:p>
              </w:tc>
            </w:tr>
            <w:tr w:rsidR="001121C0" w:rsidRPr="00271707" w:rsidTr="001121C0">
              <w:trPr>
                <w:trHeight w:val="1025"/>
              </w:trPr>
              <w:tc>
                <w:tcPr>
                  <w:tcW w:w="1243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>Local community</w:t>
                  </w:r>
                </w:p>
              </w:tc>
              <w:tc>
                <w:tcPr>
                  <w:tcW w:w="1918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>Extractive use, recreational use, harvesting, derived economic benefit (e.g., tourism)</w:t>
                  </w:r>
                  <w:r>
                    <w:rPr>
                      <w:rFonts w:cstheme="minorHAnsi"/>
                      <w:bCs/>
                    </w:rPr>
                    <w:t>.</w:t>
                  </w:r>
                </w:p>
              </w:tc>
              <w:tc>
                <w:tcPr>
                  <w:tcW w:w="2252" w:type="dxa"/>
                </w:tcPr>
                <w:p w:rsidR="002D6A5C" w:rsidRPr="00271707" w:rsidRDefault="002D6A5C" w:rsidP="008F62E3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 xml:space="preserve">Increase in knowledge about the value of the </w:t>
                  </w:r>
                  <w:r w:rsidR="008F62E3">
                    <w:rPr>
                      <w:rFonts w:cstheme="minorHAnsi"/>
                      <w:bCs/>
                    </w:rPr>
                    <w:t>protected area</w:t>
                  </w:r>
                  <w:r>
                    <w:rPr>
                      <w:rFonts w:cstheme="minorHAnsi"/>
                      <w:bCs/>
                    </w:rPr>
                    <w:t xml:space="preserve">. </w:t>
                  </w:r>
                  <w:r w:rsidRPr="00271707">
                    <w:rPr>
                      <w:rFonts w:cstheme="minorHAnsi"/>
                      <w:bCs/>
                    </w:rPr>
                    <w:t>Demonstrate need for sustainable use of natural resources</w:t>
                  </w:r>
                  <w:r>
                    <w:rPr>
                      <w:rFonts w:cstheme="minorHAnsi"/>
                      <w:bCs/>
                    </w:rPr>
                    <w:t>.</w:t>
                  </w:r>
                </w:p>
              </w:tc>
              <w:tc>
                <w:tcPr>
                  <w:tcW w:w="2897" w:type="dxa"/>
                </w:tcPr>
                <w:p w:rsidR="002D6A5C" w:rsidRPr="00271707" w:rsidRDefault="002D6A5C" w:rsidP="007B44C3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>Local outreach</w:t>
                  </w:r>
                  <w:r>
                    <w:rPr>
                      <w:rFonts w:cstheme="minorHAnsi"/>
                      <w:bCs/>
                    </w:rPr>
                    <w:t>, including</w:t>
                  </w:r>
                  <w:r w:rsidRPr="00271707">
                    <w:rPr>
                      <w:rFonts w:cstheme="minorHAnsi"/>
                      <w:bCs/>
                    </w:rPr>
                    <w:t xml:space="preserve"> </w:t>
                  </w:r>
                  <w:r w:rsidR="008F62E3">
                    <w:rPr>
                      <w:rFonts w:cstheme="minorHAnsi"/>
                      <w:bCs/>
                    </w:rPr>
                    <w:t xml:space="preserve">one-off </w:t>
                  </w:r>
                  <w:r w:rsidRPr="00271707">
                    <w:rPr>
                      <w:rFonts w:cstheme="minorHAnsi"/>
                      <w:bCs/>
                    </w:rPr>
                    <w:t xml:space="preserve">community education campaign, community meeting, local news story, local radio. Exchange visits with communities in/near </w:t>
                  </w:r>
                  <w:r w:rsidR="008F62E3">
                    <w:rPr>
                      <w:rFonts w:cstheme="minorHAnsi"/>
                      <w:bCs/>
                    </w:rPr>
                    <w:t>protected areas</w:t>
                  </w:r>
                  <w:r w:rsidR="008F62E3" w:rsidRPr="00271707">
                    <w:rPr>
                      <w:rFonts w:cstheme="minorHAnsi"/>
                      <w:bCs/>
                    </w:rPr>
                    <w:t xml:space="preserve"> </w:t>
                  </w:r>
                  <w:r w:rsidRPr="00271707">
                    <w:rPr>
                      <w:rFonts w:cstheme="minorHAnsi"/>
                      <w:bCs/>
                    </w:rPr>
                    <w:t>(if specific objectives can be shown to have been achieved in these communities)</w:t>
                  </w:r>
                  <w:r>
                    <w:rPr>
                      <w:rFonts w:cstheme="minorHAnsi"/>
                      <w:bCs/>
                    </w:rPr>
                    <w:t>.</w:t>
                  </w:r>
                </w:p>
              </w:tc>
            </w:tr>
            <w:tr w:rsidR="001121C0" w:rsidRPr="00624400" w:rsidTr="001121C0">
              <w:trPr>
                <w:trHeight w:val="1025"/>
              </w:trPr>
              <w:tc>
                <w:tcPr>
                  <w:tcW w:w="1243" w:type="dxa"/>
                </w:tcPr>
                <w:p w:rsidR="002D6A5C" w:rsidRPr="00A01DC0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A01DC0">
                    <w:rPr>
                      <w:rFonts w:cstheme="minorHAnsi"/>
                      <w:bCs/>
                    </w:rPr>
                    <w:t>Nearby cities and/or towns</w:t>
                  </w:r>
                </w:p>
              </w:tc>
              <w:tc>
                <w:tcPr>
                  <w:tcW w:w="1918" w:type="dxa"/>
                </w:tcPr>
                <w:p w:rsidR="002D6A5C" w:rsidRPr="00A01DC0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A01DC0">
                    <w:rPr>
                      <w:rFonts w:cstheme="minorHAnsi"/>
                      <w:bCs/>
                    </w:rPr>
                    <w:t>Possibly very low interest. Lack of awareness of uses and services provided by PA and associated economic benefits.</w:t>
                  </w:r>
                </w:p>
              </w:tc>
              <w:tc>
                <w:tcPr>
                  <w:tcW w:w="2252" w:type="dxa"/>
                </w:tcPr>
                <w:p w:rsidR="002D6A5C" w:rsidRPr="00A01DC0" w:rsidRDefault="002D6A5C" w:rsidP="009A3E13">
                  <w:pPr>
                    <w:rPr>
                      <w:rFonts w:cstheme="minorHAnsi"/>
                      <w:bCs/>
                    </w:rPr>
                  </w:pPr>
                  <w:r w:rsidRPr="00A01DC0">
                    <w:rPr>
                      <w:rFonts w:cstheme="minorHAnsi"/>
                      <w:bCs/>
                    </w:rPr>
                    <w:t xml:space="preserve">Increase awareness of the role </w:t>
                  </w:r>
                  <w:r w:rsidR="008F62E3">
                    <w:rPr>
                      <w:rFonts w:cstheme="minorHAnsi"/>
                      <w:bCs/>
                    </w:rPr>
                    <w:t>protected areas</w:t>
                  </w:r>
                  <w:r w:rsidR="008F62E3" w:rsidRPr="00A01DC0">
                    <w:rPr>
                      <w:rFonts w:cstheme="minorHAnsi"/>
                      <w:bCs/>
                    </w:rPr>
                    <w:t xml:space="preserve"> </w:t>
                  </w:r>
                  <w:r w:rsidRPr="00A01DC0">
                    <w:rPr>
                      <w:rFonts w:cstheme="minorHAnsi"/>
                      <w:bCs/>
                    </w:rPr>
                    <w:t>provide in provision of w</w:t>
                  </w:r>
                  <w:r>
                    <w:rPr>
                      <w:rFonts w:cstheme="minorHAnsi"/>
                      <w:bCs/>
                    </w:rPr>
                    <w:t>ater, disaster mitigation (</w:t>
                  </w:r>
                  <w:r w:rsidRPr="00A01DC0">
                    <w:rPr>
                      <w:rFonts w:cstheme="minorHAnsi"/>
                      <w:bCs/>
                    </w:rPr>
                    <w:t>flood, avalanche control etc</w:t>
                  </w:r>
                  <w:r>
                    <w:rPr>
                      <w:rFonts w:cstheme="minorHAnsi"/>
                      <w:bCs/>
                    </w:rPr>
                    <w:t>.), recreation</w:t>
                  </w:r>
                  <w:r w:rsidR="001121C0">
                    <w:rPr>
                      <w:rFonts w:cstheme="minorHAnsi"/>
                      <w:bCs/>
                    </w:rPr>
                    <w:t>,</w:t>
                  </w:r>
                  <w:r>
                    <w:rPr>
                      <w:rFonts w:cstheme="minorHAnsi"/>
                      <w:bCs/>
                    </w:rPr>
                    <w:t xml:space="preserve"> support for tourism trade</w:t>
                  </w:r>
                  <w:r w:rsidRPr="00A01DC0">
                    <w:rPr>
                      <w:rFonts w:cstheme="minorHAnsi"/>
                      <w:bCs/>
                    </w:rPr>
                    <w:t xml:space="preserve"> etc.</w:t>
                  </w:r>
                </w:p>
              </w:tc>
              <w:tc>
                <w:tcPr>
                  <w:tcW w:w="2897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A01DC0">
                    <w:rPr>
                      <w:rFonts w:cstheme="minorHAnsi"/>
                      <w:bCs/>
                    </w:rPr>
                    <w:t xml:space="preserve">Local outreach </w:t>
                  </w:r>
                  <w:r>
                    <w:rPr>
                      <w:rFonts w:cstheme="minorHAnsi"/>
                      <w:bCs/>
                    </w:rPr>
                    <w:t xml:space="preserve">(local news stories in </w:t>
                  </w:r>
                  <w:r w:rsidRPr="00A01DC0">
                    <w:rPr>
                      <w:rFonts w:cstheme="minorHAnsi"/>
                      <w:bCs/>
                    </w:rPr>
                    <w:t>newspapers, radio, TV etc</w:t>
                  </w:r>
                  <w:r>
                    <w:rPr>
                      <w:rFonts w:cstheme="minorHAnsi"/>
                      <w:bCs/>
                    </w:rPr>
                    <w:t>.</w:t>
                  </w:r>
                  <w:r w:rsidRPr="00A01DC0">
                    <w:rPr>
                      <w:rFonts w:cstheme="minorHAnsi"/>
                      <w:bCs/>
                    </w:rPr>
                    <w:t>), open days, guided tours</w:t>
                  </w:r>
                  <w:r>
                    <w:rPr>
                      <w:rFonts w:cstheme="minorHAnsi"/>
                      <w:bCs/>
                    </w:rPr>
                    <w:t>.</w:t>
                  </w:r>
                </w:p>
              </w:tc>
            </w:tr>
            <w:tr w:rsidR="001121C0" w:rsidRPr="00271707" w:rsidTr="001121C0">
              <w:trPr>
                <w:trHeight w:val="1025"/>
              </w:trPr>
              <w:tc>
                <w:tcPr>
                  <w:tcW w:w="1243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lastRenderedPageBreak/>
                    <w:t>Service sectors (</w:t>
                  </w:r>
                  <w:r w:rsidRPr="00271707">
                    <w:rPr>
                      <w:rFonts w:cstheme="minorHAnsi"/>
                      <w:bCs/>
                    </w:rPr>
                    <w:t>water authorities, tourism boards</w:t>
                  </w:r>
                  <w:r>
                    <w:rPr>
                      <w:rFonts w:cstheme="minorHAnsi"/>
                      <w:bCs/>
                    </w:rPr>
                    <w:t xml:space="preserve"> etc.</w:t>
                  </w:r>
                  <w:r w:rsidRPr="00271707">
                    <w:rPr>
                      <w:rFonts w:cstheme="minorHAnsi"/>
                      <w:bCs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Possibly low interest with</w:t>
                  </w:r>
                  <w:r w:rsidRPr="00271707">
                    <w:rPr>
                      <w:rFonts w:cstheme="minorHAnsi"/>
                      <w:bCs/>
                    </w:rPr>
                    <w:t xml:space="preserve"> benefits of the </w:t>
                  </w:r>
                  <w:r w:rsidR="008F62E3">
                    <w:rPr>
                      <w:rFonts w:cstheme="minorHAnsi"/>
                      <w:bCs/>
                    </w:rPr>
                    <w:t>protected area</w:t>
                  </w:r>
                  <w:r w:rsidR="008F62E3" w:rsidRPr="00271707">
                    <w:rPr>
                      <w:rFonts w:cstheme="minorHAnsi"/>
                      <w:bCs/>
                    </w:rPr>
                    <w:t xml:space="preserve"> </w:t>
                  </w:r>
                  <w:r w:rsidRPr="00271707">
                    <w:rPr>
                      <w:rFonts w:cstheme="minorHAnsi"/>
                      <w:bCs/>
                    </w:rPr>
                    <w:t>taken for granted</w:t>
                  </w:r>
                  <w:r>
                    <w:rPr>
                      <w:rFonts w:cstheme="minorHAnsi"/>
                      <w:bCs/>
                    </w:rPr>
                    <w:t>.</w:t>
                  </w:r>
                </w:p>
              </w:tc>
              <w:tc>
                <w:tcPr>
                  <w:tcW w:w="2252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 xml:space="preserve">Increased understanding that many sectors depend directly or indirectly on natural resources management undertaken by </w:t>
                  </w:r>
                  <w:r w:rsidR="008F62E3">
                    <w:rPr>
                      <w:rFonts w:cstheme="minorHAnsi"/>
                      <w:bCs/>
                    </w:rPr>
                    <w:t>protected area</w:t>
                  </w:r>
                  <w:r>
                    <w:rPr>
                      <w:rFonts w:cstheme="minorHAnsi"/>
                      <w:bCs/>
                    </w:rPr>
                    <w:t>.</w:t>
                  </w:r>
                </w:p>
              </w:tc>
              <w:tc>
                <w:tcPr>
                  <w:tcW w:w="2897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>Site visits, individual meetings and well-focused (innovative) presentations, evidence-based research (well presented summaries with full reports available for technical review)</w:t>
                  </w:r>
                  <w:r>
                    <w:rPr>
                      <w:rFonts w:cstheme="minorHAnsi"/>
                      <w:bCs/>
                    </w:rPr>
                    <w:t>.</w:t>
                  </w:r>
                </w:p>
              </w:tc>
            </w:tr>
            <w:tr w:rsidR="001121C0" w:rsidRPr="00624400" w:rsidTr="001121C0">
              <w:trPr>
                <w:trHeight w:val="1025"/>
              </w:trPr>
              <w:tc>
                <w:tcPr>
                  <w:tcW w:w="1243" w:type="dxa"/>
                </w:tcPr>
                <w:p w:rsidR="002D6A5C" w:rsidRPr="00A01DC0" w:rsidRDefault="002D6A5C" w:rsidP="001121C0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Local business (</w:t>
                  </w:r>
                  <w:r w:rsidRPr="00A01DC0">
                    <w:rPr>
                      <w:rFonts w:cstheme="minorHAnsi"/>
                      <w:bCs/>
                    </w:rPr>
                    <w:t>fishers, farmers, hoteliers etc</w:t>
                  </w:r>
                  <w:r>
                    <w:rPr>
                      <w:rFonts w:cstheme="minorHAnsi"/>
                      <w:bCs/>
                    </w:rPr>
                    <w:t>.</w:t>
                  </w:r>
                  <w:r w:rsidRPr="00A01DC0">
                    <w:rPr>
                      <w:rFonts w:cstheme="minorHAnsi"/>
                      <w:bCs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2D6A5C" w:rsidRPr="00A01DC0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A01DC0">
                    <w:rPr>
                      <w:rFonts w:cstheme="minorHAnsi"/>
                      <w:bCs/>
                    </w:rPr>
                    <w:t>As above</w:t>
                  </w:r>
                  <w:r w:rsidR="007B44C3">
                    <w:rPr>
                      <w:rFonts w:cstheme="minorHAnsi"/>
                      <w:bCs/>
                    </w:rPr>
                    <w:t>;</w:t>
                  </w:r>
                  <w:r w:rsidRPr="00A01DC0">
                    <w:rPr>
                      <w:rFonts w:cstheme="minorHAnsi"/>
                      <w:bCs/>
                    </w:rPr>
                    <w:t xml:space="preserve"> benefits (such as protecting spawning grounds or sources of water) are often taken for granted.</w:t>
                  </w:r>
                </w:p>
              </w:tc>
              <w:tc>
                <w:tcPr>
                  <w:tcW w:w="2252" w:type="dxa"/>
                </w:tcPr>
                <w:p w:rsidR="002D6A5C" w:rsidRPr="00A01DC0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A01DC0">
                    <w:rPr>
                      <w:rFonts w:cstheme="minorHAnsi"/>
                      <w:bCs/>
                    </w:rPr>
                    <w:t xml:space="preserve">Increased understanding that businesses can depend directly or indirectly on natural resources management undertaken by </w:t>
                  </w:r>
                  <w:r w:rsidR="008F62E3">
                    <w:rPr>
                      <w:rFonts w:cstheme="minorHAnsi"/>
                      <w:bCs/>
                    </w:rPr>
                    <w:t>protected area</w:t>
                  </w:r>
                  <w:r w:rsidRPr="00A01DC0">
                    <w:rPr>
                      <w:rFonts w:cstheme="minorHAnsi"/>
                      <w:bCs/>
                    </w:rPr>
                    <w:t>.</w:t>
                  </w:r>
                </w:p>
              </w:tc>
              <w:tc>
                <w:tcPr>
                  <w:tcW w:w="2897" w:type="dxa"/>
                </w:tcPr>
                <w:p w:rsidR="002D6A5C" w:rsidRPr="00624400" w:rsidRDefault="002D6A5C" w:rsidP="001121C0">
                  <w:pPr>
                    <w:rPr>
                      <w:rFonts w:cstheme="minorHAnsi"/>
                      <w:bCs/>
                    </w:rPr>
                  </w:pPr>
                  <w:r w:rsidRPr="00A01DC0">
                    <w:rPr>
                      <w:rFonts w:cstheme="minorHAnsi"/>
                      <w:bCs/>
                    </w:rPr>
                    <w:t xml:space="preserve">Local outreach of </w:t>
                  </w:r>
                  <w:r>
                    <w:rPr>
                      <w:rFonts w:cstheme="minorHAnsi"/>
                      <w:bCs/>
                    </w:rPr>
                    <w:t>evidence-based research</w:t>
                  </w:r>
                  <w:r w:rsidR="001121C0">
                    <w:rPr>
                      <w:rFonts w:cstheme="minorHAnsi"/>
                      <w:bCs/>
                    </w:rPr>
                    <w:t xml:space="preserve"> e.g. </w:t>
                  </w:r>
                  <w:r w:rsidRPr="00A01DC0">
                    <w:rPr>
                      <w:rFonts w:cstheme="minorHAnsi"/>
                      <w:bCs/>
                    </w:rPr>
                    <w:t>through presentations at individual meetings, local news stories, site visits focused on specific benefits and research results.</w:t>
                  </w:r>
                </w:p>
              </w:tc>
            </w:tr>
            <w:tr w:rsidR="001121C0" w:rsidRPr="00271707" w:rsidTr="001121C0">
              <w:tc>
                <w:tcPr>
                  <w:tcW w:w="1243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>Politicians and national policy makers</w:t>
                  </w:r>
                </w:p>
              </w:tc>
              <w:tc>
                <w:tcPr>
                  <w:tcW w:w="1918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>Possibly very low interest. Lack of awareness of uses and services provided and associated economic benefits</w:t>
                  </w:r>
                  <w:r>
                    <w:rPr>
                      <w:rFonts w:cstheme="minorHAnsi"/>
                      <w:bCs/>
                    </w:rPr>
                    <w:t>.</w:t>
                  </w:r>
                </w:p>
              </w:tc>
              <w:tc>
                <w:tcPr>
                  <w:tcW w:w="2252" w:type="dxa"/>
                </w:tcPr>
                <w:p w:rsidR="002D6A5C" w:rsidRPr="00271707" w:rsidRDefault="002D6A5C" w:rsidP="00D41AA6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>Increase awareness of the use of the ecosystem.</w:t>
                  </w:r>
                  <w:r>
                    <w:rPr>
                      <w:rFonts w:cstheme="minorHAnsi"/>
                      <w:bCs/>
                    </w:rPr>
                    <w:t xml:space="preserve"> </w:t>
                  </w:r>
                  <w:r w:rsidRPr="00271707">
                    <w:rPr>
                      <w:rFonts w:cstheme="minorHAnsi"/>
                      <w:bCs/>
                    </w:rPr>
                    <w:t xml:space="preserve">Describe national and local </w:t>
                  </w:r>
                  <w:r w:rsidR="007B44C3">
                    <w:rPr>
                      <w:rFonts w:cstheme="minorHAnsi"/>
                      <w:bCs/>
                    </w:rPr>
                    <w:t xml:space="preserve">social and </w:t>
                  </w:r>
                  <w:r w:rsidRPr="00271707">
                    <w:rPr>
                      <w:rFonts w:cstheme="minorHAnsi"/>
                      <w:bCs/>
                    </w:rPr>
                    <w:t>economic benefits associated with protecti</w:t>
                  </w:r>
                  <w:r w:rsidR="00D41AA6">
                    <w:rPr>
                      <w:rFonts w:cstheme="minorHAnsi"/>
                      <w:bCs/>
                    </w:rPr>
                    <w:t>o</w:t>
                  </w:r>
                  <w:r w:rsidRPr="00271707">
                    <w:rPr>
                      <w:rFonts w:cstheme="minorHAnsi"/>
                      <w:bCs/>
                    </w:rPr>
                    <w:t>n</w:t>
                  </w:r>
                  <w:r w:rsidR="007B44C3">
                    <w:rPr>
                      <w:rFonts w:cstheme="minorHAnsi"/>
                      <w:bCs/>
                    </w:rPr>
                    <w:t>,</w:t>
                  </w:r>
                  <w:r w:rsidRPr="00271707">
                    <w:rPr>
                      <w:rFonts w:cstheme="minorHAnsi"/>
                      <w:bCs/>
                    </w:rPr>
                    <w:t xml:space="preserve"> potential costs if ecosystem degrades</w:t>
                  </w:r>
                  <w:r w:rsidR="007B44C3">
                    <w:rPr>
                      <w:rFonts w:cstheme="minorHAnsi"/>
                      <w:bCs/>
                    </w:rPr>
                    <w:t xml:space="preserve">, links to external processes (e.g. </w:t>
                  </w:r>
                  <w:proofErr w:type="spellStart"/>
                  <w:r w:rsidR="007B44C3">
                    <w:rPr>
                      <w:rFonts w:cstheme="minorHAnsi"/>
                      <w:bCs/>
                    </w:rPr>
                    <w:t>Natura</w:t>
                  </w:r>
                  <w:proofErr w:type="spellEnd"/>
                  <w:r w:rsidR="007B44C3">
                    <w:rPr>
                      <w:rFonts w:cstheme="minorHAnsi"/>
                      <w:bCs/>
                    </w:rPr>
                    <w:t xml:space="preserve"> 2000, CBD)</w:t>
                  </w:r>
                  <w:r>
                    <w:rPr>
                      <w:rFonts w:cstheme="minorHAnsi"/>
                      <w:bCs/>
                    </w:rPr>
                    <w:t>.</w:t>
                  </w:r>
                </w:p>
              </w:tc>
              <w:tc>
                <w:tcPr>
                  <w:tcW w:w="2897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>Presentation, maps, policy brief, poll results, site visits, short film, story placement in high profile media</w:t>
                  </w:r>
                  <w:r w:rsidR="007B44C3">
                    <w:rPr>
                      <w:rFonts w:cstheme="minorHAnsi"/>
                      <w:bCs/>
                    </w:rPr>
                    <w:t>, backing from public figures</w:t>
                  </w:r>
                  <w:r w:rsidRPr="00271707">
                    <w:rPr>
                      <w:rFonts w:cstheme="minorHAnsi"/>
                      <w:bCs/>
                    </w:rPr>
                    <w:t>.</w:t>
                  </w:r>
                </w:p>
              </w:tc>
            </w:tr>
            <w:tr w:rsidR="001121C0" w:rsidRPr="00271707" w:rsidTr="001121C0">
              <w:tc>
                <w:tcPr>
                  <w:tcW w:w="1243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Local and </w:t>
                  </w:r>
                  <w:r w:rsidR="009A3E13">
                    <w:rPr>
                      <w:rFonts w:cstheme="minorHAnsi"/>
                      <w:bCs/>
                    </w:rPr>
                    <w:t>i</w:t>
                  </w:r>
                  <w:r w:rsidRPr="00271707">
                    <w:rPr>
                      <w:rFonts w:cstheme="minorHAnsi"/>
                      <w:bCs/>
                    </w:rPr>
                    <w:t>nternational NGOs</w:t>
                  </w:r>
                </w:p>
              </w:tc>
              <w:tc>
                <w:tcPr>
                  <w:tcW w:w="1918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Awareness usually quite high but may not be aware of all benefits.</w:t>
                  </w:r>
                </w:p>
              </w:tc>
              <w:tc>
                <w:tcPr>
                  <w:tcW w:w="2252" w:type="dxa"/>
                </w:tcPr>
                <w:p w:rsidR="002D6A5C" w:rsidRPr="00271707" w:rsidRDefault="002D6A5C" w:rsidP="00D41AA6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 xml:space="preserve">Provides all parties with the same data on which to reach consensus about the economic benefits of </w:t>
                  </w:r>
                  <w:r w:rsidR="008F62E3">
                    <w:rPr>
                      <w:rFonts w:cstheme="minorHAnsi"/>
                      <w:bCs/>
                    </w:rPr>
                    <w:t>protected area</w:t>
                  </w:r>
                  <w:r w:rsidR="00D41AA6">
                    <w:rPr>
                      <w:rFonts w:cstheme="minorHAnsi"/>
                      <w:bCs/>
                    </w:rPr>
                    <w:t>s</w:t>
                  </w:r>
                </w:p>
              </w:tc>
              <w:tc>
                <w:tcPr>
                  <w:tcW w:w="2897" w:type="dxa"/>
                </w:tcPr>
                <w:p w:rsidR="002D6A5C" w:rsidRPr="00271707" w:rsidRDefault="002D6A5C" w:rsidP="00D41AA6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>Policy brief and full report, presentation, side event at regional or international conservation meeting.</w:t>
                  </w:r>
                </w:p>
              </w:tc>
            </w:tr>
            <w:tr w:rsidR="001121C0" w:rsidRPr="00271707" w:rsidTr="001121C0">
              <w:tc>
                <w:tcPr>
                  <w:tcW w:w="1243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>Multilateral and bilateral donors</w:t>
                  </w:r>
                </w:p>
              </w:tc>
              <w:tc>
                <w:tcPr>
                  <w:tcW w:w="1918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 xml:space="preserve">Often </w:t>
                  </w:r>
                  <w:r>
                    <w:rPr>
                      <w:rFonts w:cstheme="minorHAnsi"/>
                      <w:bCs/>
                    </w:rPr>
                    <w:t xml:space="preserve"> focused on specific agendas such as development and climate change a</w:t>
                  </w:r>
                  <w:r w:rsidRPr="00271707">
                    <w:rPr>
                      <w:rFonts w:cstheme="minorHAnsi"/>
                      <w:bCs/>
                    </w:rPr>
                    <w:t>daptation/mitigation</w:t>
                  </w:r>
                </w:p>
              </w:tc>
              <w:tc>
                <w:tcPr>
                  <w:tcW w:w="2252" w:type="dxa"/>
                </w:tcPr>
                <w:p w:rsidR="002D6A5C" w:rsidRPr="00271707" w:rsidRDefault="002D6A5C" w:rsidP="001121C0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 xml:space="preserve">Increase in </w:t>
                  </w:r>
                  <w:r w:rsidR="008F62E3">
                    <w:rPr>
                      <w:rFonts w:cstheme="minorHAnsi"/>
                      <w:bCs/>
                    </w:rPr>
                    <w:t>awareness of the link between protected area</w:t>
                  </w:r>
                  <w:r w:rsidRPr="00271707">
                    <w:rPr>
                      <w:rFonts w:cstheme="minorHAnsi"/>
                      <w:bCs/>
                    </w:rPr>
                    <w:t>s, climate change, poverty reduction</w:t>
                  </w:r>
                  <w:r w:rsidR="001121C0">
                    <w:rPr>
                      <w:rFonts w:cstheme="minorHAnsi"/>
                      <w:bCs/>
                    </w:rPr>
                    <w:t>,</w:t>
                  </w:r>
                  <w:r w:rsidRPr="00271707">
                    <w:rPr>
                      <w:rFonts w:cstheme="minorHAnsi"/>
                      <w:bCs/>
                    </w:rPr>
                    <w:t xml:space="preserve"> </w:t>
                  </w:r>
                  <w:r w:rsidR="001121C0" w:rsidRPr="00271707">
                    <w:rPr>
                      <w:rFonts w:cstheme="minorHAnsi"/>
                      <w:bCs/>
                    </w:rPr>
                    <w:t xml:space="preserve">economic </w:t>
                  </w:r>
                  <w:r w:rsidRPr="00271707">
                    <w:rPr>
                      <w:rFonts w:cstheme="minorHAnsi"/>
                      <w:bCs/>
                    </w:rPr>
                    <w:t xml:space="preserve">and </w:t>
                  </w:r>
                  <w:r w:rsidR="001121C0" w:rsidRPr="00271707">
                    <w:rPr>
                      <w:rFonts w:cstheme="minorHAnsi"/>
                      <w:bCs/>
                    </w:rPr>
                    <w:t xml:space="preserve">social </w:t>
                  </w:r>
                  <w:r w:rsidRPr="00271707">
                    <w:rPr>
                      <w:rFonts w:cstheme="minorHAnsi"/>
                      <w:bCs/>
                    </w:rPr>
                    <w:t>development</w:t>
                  </w:r>
                  <w:r>
                    <w:rPr>
                      <w:rFonts w:cstheme="minorHAnsi"/>
                      <w:bCs/>
                    </w:rPr>
                    <w:t xml:space="preserve"> etc.</w:t>
                  </w:r>
                </w:p>
              </w:tc>
              <w:tc>
                <w:tcPr>
                  <w:tcW w:w="2897" w:type="dxa"/>
                </w:tcPr>
                <w:p w:rsidR="002D6A5C" w:rsidRPr="00271707" w:rsidRDefault="002D6A5C" w:rsidP="002D6A5C">
                  <w:pPr>
                    <w:rPr>
                      <w:rFonts w:cstheme="minorHAnsi"/>
                      <w:bCs/>
                    </w:rPr>
                  </w:pPr>
                  <w:r w:rsidRPr="00271707">
                    <w:rPr>
                      <w:rFonts w:cstheme="minorHAnsi"/>
                      <w:bCs/>
                    </w:rPr>
                    <w:t>Site visits, policy brief, presentations at high level international meetings, individual meetings, international high profile media</w:t>
                  </w:r>
                  <w:r>
                    <w:rPr>
                      <w:rFonts w:cstheme="minorHAnsi"/>
                      <w:bCs/>
                    </w:rPr>
                    <w:t xml:space="preserve"> etc</w:t>
                  </w:r>
                  <w:r w:rsidRPr="00271707">
                    <w:rPr>
                      <w:rFonts w:cstheme="minorHAnsi"/>
                      <w:bCs/>
                    </w:rPr>
                    <w:t>.</w:t>
                  </w:r>
                </w:p>
              </w:tc>
            </w:tr>
          </w:tbl>
          <w:p w:rsidR="002D6A5C" w:rsidRDefault="00064092" w:rsidP="00523E2A">
            <w:pPr>
              <w:pStyle w:val="SubsectionText"/>
              <w:rPr>
                <w:sz w:val="18"/>
                <w:lang w:val="en-GB"/>
              </w:rPr>
            </w:pPr>
            <w:r>
              <w:rPr>
                <w:lang w:val="en-GB"/>
              </w:rPr>
              <w:t>Adapted from</w:t>
            </w:r>
            <w:r w:rsidR="002D6A5C">
              <w:rPr>
                <w:lang w:val="en-GB"/>
              </w:rPr>
              <w:t xml:space="preserve">: </w:t>
            </w:r>
            <w:r w:rsidR="002D6A5C">
              <w:rPr>
                <w:sz w:val="18"/>
                <w:lang w:val="en-GB"/>
              </w:rPr>
              <w:t xml:space="preserve">Kettunen, M and ten Brink, P. 2013. </w:t>
            </w:r>
            <w:r w:rsidR="002D6A5C" w:rsidRPr="00A1275D">
              <w:rPr>
                <w:i/>
                <w:sz w:val="18"/>
                <w:lang w:val="en-GB"/>
              </w:rPr>
              <w:t>Social and Economic Benefits of Protected Areas: An Assessment Guide</w:t>
            </w:r>
            <w:r w:rsidR="002D6A5C">
              <w:rPr>
                <w:sz w:val="18"/>
                <w:lang w:val="en-GB"/>
              </w:rPr>
              <w:t xml:space="preserve">, </w:t>
            </w:r>
            <w:proofErr w:type="spellStart"/>
            <w:r w:rsidR="002D6A5C">
              <w:rPr>
                <w:sz w:val="18"/>
                <w:lang w:val="en-GB"/>
              </w:rPr>
              <w:t>Routledge</w:t>
            </w:r>
            <w:proofErr w:type="spellEnd"/>
            <w:r w:rsidR="002D6A5C">
              <w:rPr>
                <w:sz w:val="18"/>
                <w:lang w:val="en-GB"/>
              </w:rPr>
              <w:t>, Oxon, UK</w:t>
            </w:r>
          </w:p>
          <w:p w:rsidR="00B31CE6" w:rsidRPr="003A150D" w:rsidRDefault="00B31CE6" w:rsidP="00B31CE6">
            <w:pPr>
              <w:pStyle w:val="Section"/>
              <w:rPr>
                <w:lang w:val="en-GB"/>
              </w:rPr>
            </w:pPr>
            <w:r>
              <w:rPr>
                <w:lang w:val="en-GB"/>
              </w:rPr>
              <w:t xml:space="preserve">Checklist and action plan for </w:t>
            </w:r>
            <w:r w:rsidR="009E1A32">
              <w:rPr>
                <w:lang w:val="en-GB"/>
              </w:rPr>
              <w:t>communication strategies</w:t>
            </w:r>
            <w:r w:rsidRPr="00B31CE6">
              <w:rPr>
                <w:lang w:val="en-GB"/>
              </w:rPr>
              <w:t xml:space="preserve"> </w:t>
            </w:r>
          </w:p>
          <w:p w:rsidR="00B31CE6" w:rsidRDefault="00B31CE6" w:rsidP="00B31CE6">
            <w:pPr>
              <w:pStyle w:val="SubsectionText"/>
              <w:rPr>
                <w:lang w:val="en-GB"/>
              </w:rPr>
            </w:pPr>
            <w:r>
              <w:rPr>
                <w:lang w:val="en-GB"/>
              </w:rPr>
              <w:t>The assessment form below draws on the discussion above and can help manager and staff in discussions related to using the PA-BAT results.</w:t>
            </w:r>
          </w:p>
          <w:p w:rsidR="00B31CE6" w:rsidRDefault="00B31CE6" w:rsidP="00B31CE6">
            <w:pPr>
              <w:pStyle w:val="SubsectionText"/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6006"/>
            </w:tblGrid>
            <w:tr w:rsidR="00B31CE6" w:rsidRPr="00180891" w:rsidTr="00F53089">
              <w:tc>
                <w:tcPr>
                  <w:tcW w:w="2289" w:type="dxa"/>
                </w:tcPr>
                <w:p w:rsidR="00B31CE6" w:rsidRPr="00180891" w:rsidRDefault="00B31CE6" w:rsidP="00F53089">
                  <w:pPr>
                    <w:pStyle w:val="SubsectionText"/>
                    <w:spacing w:after="0"/>
                    <w:rPr>
                      <w:b/>
                      <w:color w:val="AAB0C7" w:themeColor="accent1" w:themeTint="99"/>
                      <w:lang w:val="en-GB"/>
                    </w:rPr>
                  </w:pPr>
                  <w:r w:rsidRPr="00180891">
                    <w:rPr>
                      <w:b/>
                      <w:color w:val="AAB0C7" w:themeColor="accent1" w:themeTint="99"/>
                      <w:lang w:val="en-GB"/>
                    </w:rPr>
                    <w:t>Issue for discussion</w:t>
                  </w:r>
                </w:p>
              </w:tc>
              <w:tc>
                <w:tcPr>
                  <w:tcW w:w="6006" w:type="dxa"/>
                </w:tcPr>
                <w:p w:rsidR="00B31CE6" w:rsidRPr="00180891" w:rsidRDefault="00B31CE6" w:rsidP="00F53089">
                  <w:pPr>
                    <w:pStyle w:val="SubsectionText"/>
                    <w:spacing w:after="0"/>
                    <w:rPr>
                      <w:b/>
                      <w:color w:val="AAB0C7" w:themeColor="accent1" w:themeTint="99"/>
                      <w:lang w:val="en-GB"/>
                    </w:rPr>
                  </w:pPr>
                  <w:r>
                    <w:rPr>
                      <w:b/>
                      <w:color w:val="AAB0C7" w:themeColor="accent1" w:themeTint="99"/>
                      <w:lang w:val="en-GB"/>
                    </w:rPr>
                    <w:t>Developing action</w:t>
                  </w:r>
                  <w:r w:rsidRPr="00180891">
                    <w:rPr>
                      <w:b/>
                      <w:color w:val="AAB0C7" w:themeColor="accent1" w:themeTint="99"/>
                      <w:lang w:val="en-GB"/>
                    </w:rPr>
                    <w:t xml:space="preserve"> plan</w:t>
                  </w:r>
                  <w:r>
                    <w:rPr>
                      <w:b/>
                      <w:color w:val="AAB0C7" w:themeColor="accent1" w:themeTint="99"/>
                      <w:lang w:val="en-GB"/>
                    </w:rPr>
                    <w:t>s</w:t>
                  </w:r>
                </w:p>
              </w:tc>
            </w:tr>
            <w:tr w:rsidR="00064092" w:rsidTr="00F53089">
              <w:tc>
                <w:tcPr>
                  <w:tcW w:w="2289" w:type="dxa"/>
                </w:tcPr>
                <w:p w:rsidR="00064092" w:rsidRDefault="00064092" w:rsidP="00E4301B">
                  <w:pPr>
                    <w:pStyle w:val="SubsectionText"/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Developing a communications strategy</w:t>
                  </w:r>
                  <w:r w:rsidR="000F1DFB">
                    <w:rPr>
                      <w:lang w:val="en-GB"/>
                    </w:rPr>
                    <w:t xml:space="preserve"> to help address ‘gaps’ in communications</w:t>
                  </w:r>
                </w:p>
              </w:tc>
              <w:tc>
                <w:tcPr>
                  <w:tcW w:w="6006" w:type="dxa"/>
                </w:tcPr>
                <w:p w:rsidR="008F3465" w:rsidRDefault="008F3465" w:rsidP="00E4301B">
                  <w:pPr>
                    <w:pStyle w:val="SubsectionText"/>
                    <w:numPr>
                      <w:ilvl w:val="0"/>
                      <w:numId w:val="32"/>
                    </w:num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When thinking about developing a communications strategy a first step should be to research any similar activities carried out by </w:t>
                  </w:r>
                  <w:r w:rsidR="00D41AA6">
                    <w:rPr>
                      <w:lang w:val="en-GB"/>
                    </w:rPr>
                    <w:t xml:space="preserve">other </w:t>
                  </w:r>
                  <w:r>
                    <w:rPr>
                      <w:lang w:val="en-GB"/>
                    </w:rPr>
                    <w:t>protected areas in the same region/biome</w:t>
                  </w:r>
                  <w:r w:rsidR="007F0CFF">
                    <w:rPr>
                      <w:lang w:val="en-GB"/>
                    </w:rPr>
                    <w:t>,</w:t>
                  </w:r>
                  <w:r>
                    <w:rPr>
                      <w:lang w:val="en-GB"/>
                    </w:rPr>
                    <w:t xml:space="preserve"> which </w:t>
                  </w:r>
                  <w:r w:rsidR="007F0CFF">
                    <w:rPr>
                      <w:lang w:val="en-GB"/>
                    </w:rPr>
                    <w:t xml:space="preserve">can provide useful </w:t>
                  </w:r>
                  <w:r>
                    <w:rPr>
                      <w:lang w:val="en-GB"/>
                    </w:rPr>
                    <w:t>lessons.</w:t>
                  </w:r>
                </w:p>
                <w:p w:rsidR="00064092" w:rsidRDefault="00064092" w:rsidP="00E4301B">
                  <w:pPr>
                    <w:pStyle w:val="SubsectionText"/>
                    <w:numPr>
                      <w:ilvl w:val="0"/>
                      <w:numId w:val="32"/>
                    </w:num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The PA-BAT can help highlight communication needs. When developing communication plans the following questions should be considered: </w:t>
                  </w:r>
                </w:p>
                <w:p w:rsidR="00064092" w:rsidRPr="009E1A32" w:rsidRDefault="00064092" w:rsidP="00E4301B">
                  <w:pPr>
                    <w:pStyle w:val="SubsectionText"/>
                    <w:numPr>
                      <w:ilvl w:val="0"/>
                      <w:numId w:val="37"/>
                    </w:numPr>
                    <w:spacing w:after="0"/>
                    <w:rPr>
                      <w:lang w:val="en-GB"/>
                    </w:rPr>
                  </w:pPr>
                  <w:r w:rsidRPr="009E1A32">
                    <w:rPr>
                      <w:lang w:val="en-GB"/>
                    </w:rPr>
                    <w:t xml:space="preserve">What is the reason for </w:t>
                  </w:r>
                  <w:r w:rsidR="008F62E3">
                    <w:rPr>
                      <w:lang w:val="en-GB"/>
                    </w:rPr>
                    <w:t>developing the communication plan</w:t>
                  </w:r>
                  <w:r w:rsidRPr="009E1A32">
                    <w:rPr>
                      <w:lang w:val="en-GB"/>
                    </w:rPr>
                    <w:t xml:space="preserve"> (the objective)? </w:t>
                  </w:r>
                </w:p>
                <w:p w:rsidR="00064092" w:rsidRPr="009E1A32" w:rsidRDefault="00064092" w:rsidP="00E4301B">
                  <w:pPr>
                    <w:pStyle w:val="SubsectionText"/>
                    <w:numPr>
                      <w:ilvl w:val="0"/>
                      <w:numId w:val="37"/>
                    </w:numPr>
                    <w:spacing w:after="0"/>
                    <w:rPr>
                      <w:lang w:val="en-GB"/>
                    </w:rPr>
                  </w:pPr>
                  <w:r w:rsidRPr="009E1A32">
                    <w:rPr>
                      <w:lang w:val="en-GB"/>
                    </w:rPr>
                    <w:t xml:space="preserve">Who is the target audience? </w:t>
                  </w:r>
                </w:p>
                <w:p w:rsidR="00064092" w:rsidRPr="009E1A32" w:rsidRDefault="00064092" w:rsidP="00E4301B">
                  <w:pPr>
                    <w:pStyle w:val="SubsectionText"/>
                    <w:numPr>
                      <w:ilvl w:val="0"/>
                      <w:numId w:val="37"/>
                    </w:numPr>
                    <w:spacing w:after="0"/>
                    <w:rPr>
                      <w:lang w:val="en-GB"/>
                    </w:rPr>
                  </w:pPr>
                  <w:r w:rsidRPr="009E1A32">
                    <w:rPr>
                      <w:lang w:val="en-GB"/>
                    </w:rPr>
                    <w:lastRenderedPageBreak/>
                    <w:t xml:space="preserve">What would </w:t>
                  </w:r>
                  <w:r w:rsidR="007F0CFF">
                    <w:rPr>
                      <w:lang w:val="en-GB"/>
                    </w:rPr>
                    <w:t>you</w:t>
                  </w:r>
                  <w:r w:rsidR="007F0CFF" w:rsidRPr="009E1A32">
                    <w:rPr>
                      <w:lang w:val="en-GB"/>
                    </w:rPr>
                    <w:t xml:space="preserve"> </w:t>
                  </w:r>
                  <w:r w:rsidRPr="009E1A32">
                    <w:rPr>
                      <w:lang w:val="en-GB"/>
                    </w:rPr>
                    <w:t xml:space="preserve">wish this audience to learn/understand? </w:t>
                  </w:r>
                </w:p>
                <w:p w:rsidR="00064092" w:rsidRPr="009E1A32" w:rsidRDefault="00064092" w:rsidP="00E4301B">
                  <w:pPr>
                    <w:pStyle w:val="SubsectionText"/>
                    <w:numPr>
                      <w:ilvl w:val="0"/>
                      <w:numId w:val="37"/>
                    </w:numPr>
                    <w:spacing w:after="0"/>
                    <w:rPr>
                      <w:lang w:val="en-GB"/>
                    </w:rPr>
                  </w:pPr>
                  <w:r w:rsidRPr="009E1A32">
                    <w:rPr>
                      <w:lang w:val="en-GB"/>
                    </w:rPr>
                    <w:t>What information and evidence base helps the audience to form an informed decision or/and what kind of information is needed to motivate the target audience?</w:t>
                  </w:r>
                </w:p>
                <w:p w:rsidR="00064092" w:rsidRPr="009E1A32" w:rsidRDefault="00064092" w:rsidP="00E4301B">
                  <w:pPr>
                    <w:pStyle w:val="SubsectionText"/>
                    <w:numPr>
                      <w:ilvl w:val="0"/>
                      <w:numId w:val="37"/>
                    </w:numPr>
                    <w:spacing w:after="0"/>
                    <w:rPr>
                      <w:lang w:val="en-GB"/>
                    </w:rPr>
                  </w:pPr>
                  <w:r w:rsidRPr="009E1A32">
                    <w:rPr>
                      <w:lang w:val="en-GB"/>
                    </w:rPr>
                    <w:t xml:space="preserve">How can </w:t>
                  </w:r>
                  <w:r w:rsidR="007F0CFF">
                    <w:rPr>
                      <w:lang w:val="en-GB"/>
                    </w:rPr>
                    <w:t>you</w:t>
                  </w:r>
                  <w:r w:rsidR="007F0CFF" w:rsidRPr="009E1A32">
                    <w:rPr>
                      <w:lang w:val="en-GB"/>
                    </w:rPr>
                    <w:t xml:space="preserve"> </w:t>
                  </w:r>
                  <w:r w:rsidRPr="009E1A32">
                    <w:rPr>
                      <w:lang w:val="en-GB"/>
                    </w:rPr>
                    <w:t>reach the target audience in an effective way?</w:t>
                  </w:r>
                </w:p>
                <w:p w:rsidR="00064092" w:rsidRPr="009E1A32" w:rsidRDefault="00064092" w:rsidP="00E4301B">
                  <w:pPr>
                    <w:pStyle w:val="SubsectionText"/>
                    <w:numPr>
                      <w:ilvl w:val="0"/>
                      <w:numId w:val="37"/>
                    </w:numPr>
                    <w:spacing w:after="0"/>
                    <w:rPr>
                      <w:lang w:val="en-GB"/>
                    </w:rPr>
                  </w:pPr>
                  <w:r w:rsidRPr="009E1A32">
                    <w:rPr>
                      <w:lang w:val="en-GB"/>
                    </w:rPr>
                    <w:t xml:space="preserve">Who will benefit from the assessment? </w:t>
                  </w:r>
                </w:p>
                <w:p w:rsidR="00064092" w:rsidRDefault="00064092" w:rsidP="00E4301B">
                  <w:pPr>
                    <w:pStyle w:val="SubsectionText"/>
                    <w:numPr>
                      <w:ilvl w:val="0"/>
                      <w:numId w:val="37"/>
                    </w:numPr>
                    <w:spacing w:after="0"/>
                    <w:rPr>
                      <w:lang w:val="en-GB"/>
                    </w:rPr>
                  </w:pPr>
                  <w:r w:rsidRPr="009E1A32">
                    <w:rPr>
                      <w:lang w:val="en-GB"/>
                    </w:rPr>
                    <w:t>How will these benefits be communicated to the different beneficiaries?</w:t>
                  </w:r>
                </w:p>
                <w:p w:rsidR="008F3465" w:rsidRPr="008F3465" w:rsidRDefault="00064092" w:rsidP="008F3465">
                  <w:pPr>
                    <w:pStyle w:val="SubsectionText"/>
                    <w:numPr>
                      <w:ilvl w:val="0"/>
                      <w:numId w:val="37"/>
                    </w:num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What resources (financial and capacity) are needed to develop a communications campaign?</w:t>
                  </w:r>
                </w:p>
              </w:tc>
            </w:tr>
          </w:tbl>
          <w:p w:rsidR="00B31CE6" w:rsidRPr="003A150D" w:rsidRDefault="00B31CE6" w:rsidP="00B31CE6">
            <w:pPr>
              <w:pStyle w:val="SubsectionText"/>
              <w:rPr>
                <w:lang w:val="en-GB"/>
              </w:rPr>
            </w:pPr>
          </w:p>
        </w:tc>
      </w:tr>
    </w:tbl>
    <w:p w:rsidR="00CF4771" w:rsidRDefault="00CF4771">
      <w:pPr>
        <w:rPr>
          <w:lang w:val="en-GB"/>
        </w:rPr>
      </w:pPr>
    </w:p>
    <w:p w:rsidR="008742F3" w:rsidRPr="003A150D" w:rsidRDefault="008742F3">
      <w:pPr>
        <w:rPr>
          <w:lang w:val="en-GB"/>
        </w:rPr>
      </w:pPr>
    </w:p>
    <w:sectPr w:rsidR="008742F3" w:rsidRPr="003A150D" w:rsidSect="00C759EA">
      <w:head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22" w:rsidRDefault="009E7F22">
      <w:pPr>
        <w:spacing w:after="0" w:line="240" w:lineRule="auto"/>
      </w:pPr>
      <w:r>
        <w:separator/>
      </w:r>
    </w:p>
  </w:endnote>
  <w:endnote w:type="continuationSeparator" w:id="0">
    <w:p w:rsidR="009E7F22" w:rsidRDefault="009E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E">
    <w:panose1 w:val="00000000000000000000"/>
    <w:charset w:val="80"/>
    <w:family w:val="roman"/>
    <w:notTrueType/>
    <w:pitch w:val="default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22" w:rsidRDefault="009E7F22">
      <w:pPr>
        <w:spacing w:after="0" w:line="240" w:lineRule="auto"/>
      </w:pPr>
      <w:r>
        <w:separator/>
      </w:r>
    </w:p>
  </w:footnote>
  <w:footnote w:type="continuationSeparator" w:id="0">
    <w:p w:rsidR="009E7F22" w:rsidRDefault="009E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EA" w:rsidRDefault="00C759EA">
    <w:pPr>
      <w:pStyle w:val="Header"/>
    </w:pPr>
  </w:p>
  <w:p w:rsidR="00C759EA" w:rsidRDefault="00C759E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16A69C8"/>
    <w:multiLevelType w:val="hybridMultilevel"/>
    <w:tmpl w:val="C4185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EE6072"/>
    <w:multiLevelType w:val="hybridMultilevel"/>
    <w:tmpl w:val="A0E62F68"/>
    <w:lvl w:ilvl="0" w:tplc="B792D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01EF9"/>
    <w:multiLevelType w:val="hybridMultilevel"/>
    <w:tmpl w:val="C5C8F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F464B"/>
    <w:multiLevelType w:val="hybridMultilevel"/>
    <w:tmpl w:val="FADA2E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17011"/>
    <w:multiLevelType w:val="hybridMultilevel"/>
    <w:tmpl w:val="3A648B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823FB1"/>
    <w:multiLevelType w:val="hybridMultilevel"/>
    <w:tmpl w:val="397CA5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85709B"/>
    <w:multiLevelType w:val="hybridMultilevel"/>
    <w:tmpl w:val="855EDB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555085"/>
    <w:multiLevelType w:val="hybridMultilevel"/>
    <w:tmpl w:val="A2A8AC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1B6CA6"/>
    <w:multiLevelType w:val="hybridMultilevel"/>
    <w:tmpl w:val="D3FE5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F01E8"/>
    <w:multiLevelType w:val="hybridMultilevel"/>
    <w:tmpl w:val="C472CF6A"/>
    <w:lvl w:ilvl="0" w:tplc="B792D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00D18"/>
    <w:multiLevelType w:val="hybridMultilevel"/>
    <w:tmpl w:val="FD4C19E8"/>
    <w:lvl w:ilvl="0" w:tplc="B792D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B6ACE"/>
    <w:multiLevelType w:val="hybridMultilevel"/>
    <w:tmpl w:val="58CE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A7A55"/>
    <w:multiLevelType w:val="hybridMultilevel"/>
    <w:tmpl w:val="37169E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FB8CD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9246BD"/>
    <w:multiLevelType w:val="hybridMultilevel"/>
    <w:tmpl w:val="397CA5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AF60A1"/>
    <w:multiLevelType w:val="hybridMultilevel"/>
    <w:tmpl w:val="EC6C87A2"/>
    <w:lvl w:ilvl="0" w:tplc="B792D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C04138"/>
    <w:multiLevelType w:val="hybridMultilevel"/>
    <w:tmpl w:val="8D9A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24"/>
  </w:num>
  <w:num w:numId="28">
    <w:abstractNumId w:val="11"/>
  </w:num>
  <w:num w:numId="29">
    <w:abstractNumId w:val="20"/>
  </w:num>
  <w:num w:numId="30">
    <w:abstractNumId w:val="12"/>
  </w:num>
  <w:num w:numId="31">
    <w:abstractNumId w:val="19"/>
  </w:num>
  <w:num w:numId="32">
    <w:abstractNumId w:val="10"/>
  </w:num>
  <w:num w:numId="33">
    <w:abstractNumId w:val="14"/>
  </w:num>
  <w:num w:numId="34">
    <w:abstractNumId w:val="23"/>
  </w:num>
  <w:num w:numId="35">
    <w:abstractNumId w:val="17"/>
  </w:num>
  <w:num w:numId="36">
    <w:abstractNumId w:val="21"/>
  </w:num>
  <w:num w:numId="37">
    <w:abstractNumId w:val="25"/>
  </w:num>
  <w:num w:numId="38">
    <w:abstractNumId w:val="15"/>
  </w:num>
  <w:num w:numId="39">
    <w:abstractNumId w:val="18"/>
  </w:num>
  <w:num w:numId="40">
    <w:abstractNumId w:val="2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hideGrammaticalErrors/>
  <w:proofState w:spelling="clean" w:grammar="clean"/>
  <w:attachedTemplate r:id="rId1"/>
  <w:trackRevisions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3F"/>
    <w:rsid w:val="000371D7"/>
    <w:rsid w:val="00064092"/>
    <w:rsid w:val="000906C9"/>
    <w:rsid w:val="000B5D24"/>
    <w:rsid w:val="000D4F46"/>
    <w:rsid w:val="000F1DFB"/>
    <w:rsid w:val="001121C0"/>
    <w:rsid w:val="001221FD"/>
    <w:rsid w:val="00162CCC"/>
    <w:rsid w:val="00181108"/>
    <w:rsid w:val="001C102D"/>
    <w:rsid w:val="001C2DBC"/>
    <w:rsid w:val="0021773B"/>
    <w:rsid w:val="0023314E"/>
    <w:rsid w:val="00260223"/>
    <w:rsid w:val="0029083D"/>
    <w:rsid w:val="002A091A"/>
    <w:rsid w:val="002B2E9D"/>
    <w:rsid w:val="002D6A5C"/>
    <w:rsid w:val="00332E21"/>
    <w:rsid w:val="0037070B"/>
    <w:rsid w:val="003A150D"/>
    <w:rsid w:val="00412ED4"/>
    <w:rsid w:val="0042394F"/>
    <w:rsid w:val="004842AB"/>
    <w:rsid w:val="00485A72"/>
    <w:rsid w:val="0048755B"/>
    <w:rsid w:val="00494D29"/>
    <w:rsid w:val="004D075D"/>
    <w:rsid w:val="004D51F4"/>
    <w:rsid w:val="00523E2A"/>
    <w:rsid w:val="0055719B"/>
    <w:rsid w:val="00574459"/>
    <w:rsid w:val="005A0EE5"/>
    <w:rsid w:val="005A3379"/>
    <w:rsid w:val="005B469A"/>
    <w:rsid w:val="00640AD0"/>
    <w:rsid w:val="006B0903"/>
    <w:rsid w:val="006B39D3"/>
    <w:rsid w:val="00737E63"/>
    <w:rsid w:val="00751806"/>
    <w:rsid w:val="0079024C"/>
    <w:rsid w:val="007B44C3"/>
    <w:rsid w:val="007E7D26"/>
    <w:rsid w:val="007F0CFF"/>
    <w:rsid w:val="00867286"/>
    <w:rsid w:val="008742F3"/>
    <w:rsid w:val="00883F4C"/>
    <w:rsid w:val="00887D34"/>
    <w:rsid w:val="008B003F"/>
    <w:rsid w:val="008B3B20"/>
    <w:rsid w:val="008C1B4B"/>
    <w:rsid w:val="008F3245"/>
    <w:rsid w:val="008F3465"/>
    <w:rsid w:val="008F62E3"/>
    <w:rsid w:val="00924719"/>
    <w:rsid w:val="009402C0"/>
    <w:rsid w:val="009A3E13"/>
    <w:rsid w:val="009C2280"/>
    <w:rsid w:val="009E1A32"/>
    <w:rsid w:val="009E7F22"/>
    <w:rsid w:val="00A1275D"/>
    <w:rsid w:val="00A80BFA"/>
    <w:rsid w:val="00AE4173"/>
    <w:rsid w:val="00B11930"/>
    <w:rsid w:val="00B11D35"/>
    <w:rsid w:val="00B26EFF"/>
    <w:rsid w:val="00B3050E"/>
    <w:rsid w:val="00B31CE6"/>
    <w:rsid w:val="00BF1693"/>
    <w:rsid w:val="00C759EA"/>
    <w:rsid w:val="00C770D9"/>
    <w:rsid w:val="00CF4771"/>
    <w:rsid w:val="00D10A8E"/>
    <w:rsid w:val="00D41AA6"/>
    <w:rsid w:val="00D72212"/>
    <w:rsid w:val="00DA3B10"/>
    <w:rsid w:val="00DD02ED"/>
    <w:rsid w:val="00DE36FB"/>
    <w:rsid w:val="00E02E74"/>
    <w:rsid w:val="00E12385"/>
    <w:rsid w:val="00E83955"/>
    <w:rsid w:val="00ED505D"/>
    <w:rsid w:val="00EF6E9C"/>
    <w:rsid w:val="00F42125"/>
    <w:rsid w:val="00F5309E"/>
    <w:rsid w:val="00F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71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F4771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771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771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771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771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771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771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771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771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F4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CF47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4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771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F47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771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71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CF4771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CF4771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CF4771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CF4771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CF4771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771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CF4771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CF4771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4771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F4771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CF4771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CF4771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CF4771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F4771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771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771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771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771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771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771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771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CF4771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CF4771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771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F4771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CF4771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CF4771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CF4771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CF4771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CF4771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CF4771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CF4771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4771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4771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F4771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F4771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CF477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CF477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CF4771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CF477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CF4771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CF4771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CF4771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CF4771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CF4771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CF4771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CF4771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CF4771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CF4771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CF4771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CF4771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CF4771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24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24C"/>
    <w:rPr>
      <w:rFonts w:cs="Times New Roman"/>
      <w:color w:val="000000" w:themeColor="text1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902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5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D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D24"/>
    <w:rPr>
      <w:rFonts w:cs="Times New Roman"/>
      <w:color w:val="000000" w:themeColor="text1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D24"/>
    <w:rPr>
      <w:rFonts w:cs="Times New Roman"/>
      <w:b/>
      <w:bCs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64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71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F4771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771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771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771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771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771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771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771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771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F4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CF47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4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771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F47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771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71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CF4771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CF4771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CF4771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CF4771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CF4771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771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CF4771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CF4771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4771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F4771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CF4771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CF4771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CF4771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F4771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771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771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771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771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771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771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771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CF4771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CF4771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771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F4771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CF4771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CF4771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CF4771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CF4771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CF4771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CF4771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CF477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CF4771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4771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4771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F4771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F4771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CF477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CF477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CF4771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CF477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CF4771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CF4771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CF4771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CF4771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CF4771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CF4771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CF4771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CF4771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CF4771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CF4771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CF4771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CF4771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24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24C"/>
    <w:rPr>
      <w:rFonts w:cs="Times New Roman"/>
      <w:color w:val="000000" w:themeColor="text1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902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5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D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D24"/>
    <w:rPr>
      <w:rFonts w:cs="Times New Roman"/>
      <w:color w:val="000000" w:themeColor="text1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D24"/>
    <w:rPr>
      <w:rFonts w:cs="Times New Roman"/>
      <w:b/>
      <w:bCs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6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D60179E-2DB5-DD44-A1F6-DBCDC10D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(x86)\Microsoft Office\Templates\1033\OriginResume.Dotx</Template>
  <TotalTime>0</TotalTime>
  <Pages>3</Pages>
  <Words>989</Words>
  <Characters>5638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</dc:creator>
  <cp:lastModifiedBy>Martina Šubašić</cp:lastModifiedBy>
  <cp:revision>2</cp:revision>
  <dcterms:created xsi:type="dcterms:W3CDTF">2015-10-22T17:48:00Z</dcterms:created>
  <dcterms:modified xsi:type="dcterms:W3CDTF">2015-10-22T17:48:00Z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