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9" w:rsidRDefault="00C73C89" w:rsidP="00C73C89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ՇԱՀԱՊՈՆՔ ՀԲՏ </w:t>
      </w:r>
      <w:r w:rsidRPr="00B04D0C">
        <w:rPr>
          <w:rFonts w:ascii="Sylfaen" w:hAnsi="Sylfaen"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C73C89" w:rsidRPr="00C73C89" w:rsidRDefault="00C73C89" w:rsidP="00C73C89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 w:cs="Arial"/>
          <w:sz w:val="16"/>
          <w:szCs w:val="16"/>
          <w:lang w:val="en-US" w:eastAsia="en-US"/>
        </w:rPr>
      </w:pPr>
    </w:p>
    <w:p w:rsidR="00C73C89" w:rsidRPr="00B04D0C" w:rsidRDefault="00C73C89" w:rsidP="00C73C89">
      <w:pPr>
        <w:pStyle w:val="ListParagraph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Sylfaen" w:hAnsi="Sylfaen"/>
          <w:lang w:eastAsia="ru-RU"/>
        </w:rPr>
      </w:pPr>
      <w:proofErr w:type="spellStart"/>
      <w:r w:rsidRPr="00B04D0C">
        <w:rPr>
          <w:rFonts w:ascii="Sylfaen" w:hAnsi="Sylfaen" w:cs="Sylfaen"/>
          <w:b/>
          <w:sz w:val="22"/>
          <w:szCs w:val="22"/>
          <w:lang w:val="en-US"/>
        </w:rPr>
        <w:t>Մինչև</w:t>
      </w:r>
      <w:proofErr w:type="spellEnd"/>
      <w:r w:rsidRPr="00B04D0C">
        <w:rPr>
          <w:rFonts w:ascii="Sylfaen" w:hAnsi="Sylfaen" w:cs="Sylfaen"/>
          <w:b/>
          <w:sz w:val="22"/>
          <w:szCs w:val="22"/>
        </w:rPr>
        <w:t xml:space="preserve"> 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>202</w:t>
      </w:r>
      <w:r w:rsidRPr="00B04D0C">
        <w:rPr>
          <w:rFonts w:ascii="Sylfaen" w:hAnsi="Sylfaen" w:cs="Sylfaen"/>
          <w:b/>
          <w:sz w:val="22"/>
          <w:szCs w:val="22"/>
        </w:rPr>
        <w:t>4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 xml:space="preserve">թ. ավելացնել բեզոարյան այծի տարածման շրջանակը </w:t>
      </w:r>
      <w:r w:rsidRPr="00B04D0C">
        <w:rPr>
          <w:rFonts w:ascii="Sylfaen" w:hAnsi="Sylfaen" w:cs="Sylfaen"/>
          <w:b/>
          <w:sz w:val="22"/>
          <w:szCs w:val="22"/>
        </w:rPr>
        <w:t>35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 xml:space="preserve"> տոկոսով, իսկ քանակը՝ </w:t>
      </w:r>
      <w:r w:rsidRPr="00B04D0C">
        <w:rPr>
          <w:rFonts w:ascii="Sylfaen" w:hAnsi="Sylfaen" w:cs="Sylfaen"/>
          <w:b/>
          <w:sz w:val="22"/>
          <w:szCs w:val="22"/>
        </w:rPr>
        <w:t>7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>0:</w:t>
      </w:r>
      <w:r w:rsidRPr="00B04D0C">
        <w:rPr>
          <w:rFonts w:ascii="Sylfaen" w:hAnsi="Sylfaen" w:cs="Sylfaen"/>
          <w:b/>
          <w:sz w:val="22"/>
          <w:szCs w:val="22"/>
        </w:rPr>
        <w:t xml:space="preserve"> </w:t>
      </w:r>
    </w:p>
    <w:p w:rsidR="00C73C89" w:rsidRPr="00B04D0C" w:rsidRDefault="00C73C89" w:rsidP="00C73C89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  <w:r w:rsidRPr="00B04D0C">
        <w:rPr>
          <w:rFonts w:ascii="Sylfaen" w:hAnsi="Sylfaen" w:cs="Sylfaen"/>
          <w:sz w:val="22"/>
          <w:szCs w:val="22"/>
          <w:lang w:val="hy-AM"/>
        </w:rPr>
        <w:t>Այս տարածքում կարող է բնակվել մոտ 100 բեզոարյան այծ: Պահպանման տարածքից դուրս նրանց շրջանակի ընդլայնումը կախված է որսագողության, զինուժի կողմից անհանգստության  բացակայությունից, այդ թվում հանքարդյունաբերության, և  նրանց բնակության առկայությունից ու արտադր</w:t>
      </w:r>
      <w:bookmarkStart w:id="0" w:name="_GoBack"/>
      <w:bookmarkEnd w:id="0"/>
      <w:r w:rsidRPr="00B04D0C">
        <w:rPr>
          <w:rFonts w:ascii="Sylfaen" w:hAnsi="Sylfaen" w:cs="Sylfaen"/>
          <w:sz w:val="22"/>
          <w:szCs w:val="22"/>
          <w:lang w:val="hy-AM"/>
        </w:rPr>
        <w:t>ողականությունից:</w:t>
      </w:r>
    </w:p>
    <w:p w:rsidR="00C73C89" w:rsidRPr="00B04D0C" w:rsidRDefault="00C73C89" w:rsidP="00C73C89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</w:p>
    <w:p w:rsidR="00C73C89" w:rsidRPr="00B04D0C" w:rsidRDefault="00C73C89" w:rsidP="00C73C89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b/>
          <w:sz w:val="22"/>
          <w:szCs w:val="22"/>
          <w:lang w:val="hy-AM"/>
        </w:rPr>
      </w:pPr>
      <w:r w:rsidRPr="00B04D0C">
        <w:rPr>
          <w:rFonts w:ascii="Sylfaen" w:hAnsi="Sylfaen"/>
          <w:b/>
          <w:sz w:val="22"/>
          <w:szCs w:val="22"/>
          <w:lang w:val="hy-AM"/>
        </w:rPr>
        <w:t>Մինչև</w:t>
      </w:r>
      <w:r w:rsidRPr="00B04D0C">
        <w:rPr>
          <w:rFonts w:ascii="Sylfaen" w:hAnsi="Sylfaen"/>
          <w:b/>
          <w:sz w:val="22"/>
          <w:szCs w:val="22"/>
        </w:rPr>
        <w:t xml:space="preserve"> </w:t>
      </w:r>
      <w:r w:rsidRPr="00B04D0C">
        <w:rPr>
          <w:rFonts w:ascii="Sylfaen" w:hAnsi="Sylfaen"/>
          <w:b/>
          <w:sz w:val="22"/>
          <w:szCs w:val="22"/>
          <w:lang w:val="hy-AM"/>
        </w:rPr>
        <w:t xml:space="preserve"> 2024թ. ապահովել հայկական մուֆլոնի մշտական ներկայությունը տարածքում, 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 xml:space="preserve">ավելացնել տարածման շրջանակը </w:t>
      </w:r>
      <w:r w:rsidRPr="00B04D0C">
        <w:rPr>
          <w:rFonts w:ascii="Sylfaen" w:hAnsi="Sylfaen" w:cs="Sylfaen"/>
          <w:b/>
          <w:sz w:val="22"/>
          <w:szCs w:val="22"/>
        </w:rPr>
        <w:t>և</w:t>
      </w:r>
      <w:r w:rsidRPr="00B04D0C">
        <w:rPr>
          <w:rFonts w:ascii="Sylfaen" w:hAnsi="Sylfaen" w:cs="Sylfaen"/>
          <w:b/>
          <w:sz w:val="22"/>
          <w:szCs w:val="22"/>
          <w:lang w:val="hy-AM"/>
        </w:rPr>
        <w:t xml:space="preserve"> քանակը 70 տոկոսով</w:t>
      </w:r>
      <w:r w:rsidRPr="00B04D0C">
        <w:rPr>
          <w:rFonts w:ascii="Sylfaen" w:hAnsi="Sylfaen"/>
          <w:b/>
          <w:sz w:val="22"/>
          <w:szCs w:val="22"/>
          <w:lang w:val="hy-AM"/>
        </w:rPr>
        <w:t>:</w:t>
      </w:r>
    </w:p>
    <w:p w:rsidR="00C73C89" w:rsidRPr="00B04D0C" w:rsidRDefault="00C73C89" w:rsidP="00C73C8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B04D0C">
        <w:rPr>
          <w:rFonts w:ascii="Sylfaen" w:hAnsi="Sylfaen" w:cs="Sylfaen"/>
          <w:sz w:val="22"/>
          <w:szCs w:val="22"/>
          <w:lang w:val="hy-AM"/>
        </w:rPr>
        <w:t xml:space="preserve">Ներկայումս տարածքում կարող է բնակվել մոտ 10-20 հայկական մուֆլոն, սակայն այս կենդանիներին դժվար կարելի է համարել բնակիչներ: Տարածքը հայկական մուֆլոնի համար տիպիկ ապրելավայր է, սակայն  նրանց քանակը հեռու է ապրելավայրի կարողություններից, որը պայմանավորված է որսագողությամբ, Նախիջևանի հետ սահմանում զինուժի առկայությամբ և, ավելի քիչ չափով, անասունների կողմից նրանց ապրելավայրերին պատճառած անհանգստությամբ: </w:t>
      </w:r>
    </w:p>
    <w:p w:rsidR="00C73C89" w:rsidRPr="00B04D0C" w:rsidRDefault="00C73C89" w:rsidP="00C73C89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C73C89" w:rsidRPr="00B04D0C" w:rsidRDefault="00C73C89" w:rsidP="00C73C89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C73C89" w:rsidRPr="00B04D0C" w:rsidRDefault="00C73C89" w:rsidP="00C73C89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B04D0C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C73C89" w:rsidRPr="00B04D0C" w:rsidRDefault="00C73C89" w:rsidP="00C73C8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proofErr w:type="spellStart"/>
      <w:r w:rsidRPr="00B04D0C">
        <w:rPr>
          <w:rFonts w:ascii="Sylfaen" w:hAnsi="Sylfaen" w:cs="Arial"/>
          <w:b/>
          <w:sz w:val="22"/>
          <w:szCs w:val="22"/>
          <w:lang w:val="en-US" w:eastAsia="en-US"/>
        </w:rPr>
        <w:t>Շահապոնք</w:t>
      </w:r>
      <w:proofErr w:type="spellEnd"/>
      <w:r w:rsidRPr="00B04D0C">
        <w:rPr>
          <w:rFonts w:ascii="Sylfaen" w:hAnsi="Sylfaen" w:cs="Arial"/>
          <w:b/>
          <w:sz w:val="22"/>
          <w:szCs w:val="22"/>
          <w:lang w:val="en-US" w:eastAsia="en-US"/>
        </w:rPr>
        <w:t xml:space="preserve"> ՊՏ-ի </w:t>
      </w:r>
      <w:proofErr w:type="spellStart"/>
      <w:r w:rsidRPr="00B04D0C">
        <w:rPr>
          <w:rFonts w:ascii="Sylfaen" w:hAnsi="Sylfaen" w:cs="Arial"/>
          <w:b/>
          <w:sz w:val="22"/>
          <w:szCs w:val="22"/>
          <w:lang w:val="en-US" w:eastAsia="en-US"/>
        </w:rPr>
        <w:t>գոտիավորումը</w:t>
      </w:r>
      <w:proofErr w:type="spellEnd"/>
    </w:p>
    <w:p w:rsidR="00C73C89" w:rsidRPr="00B04D0C" w:rsidRDefault="00C73C89" w:rsidP="00C73C89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 w:cs="Arial"/>
          <w:sz w:val="22"/>
          <w:szCs w:val="22"/>
          <w:lang w:val="hy-AM" w:eastAsia="en-US"/>
        </w:rPr>
        <w:t>Շահապոնք ՊՏ-ը բաղկացած կլինի Հիմնական և Կայուն օգտագործման գոտիներից.</w:t>
      </w:r>
    </w:p>
    <w:p w:rsidR="00C73C89" w:rsidRPr="00B04D0C" w:rsidRDefault="00C73C89" w:rsidP="00C73C89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Հիմնական գոտին /2,276 հա/ վերաբերվում է վայրի կենդանիների, ֆլորայի, ֆաունայի և դրանք ընդգրկող լանդշաֆտի պահպանությանը:  Հիմնական գոտին ունի խիստ պահպանվող տարածքի կարգավիճակ: </w:t>
      </w:r>
    </w:p>
    <w:p w:rsidR="00C73C89" w:rsidRPr="00B04D0C" w:rsidRDefault="00C73C89" w:rsidP="00C73C89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Կայուն օգտագործման գոտին /3,438 հա/ շրջապատում և հարում է հիմնական գոտուն: Նպատակն է՝ արոտավայրերի կայուն կառավարման միջոցով բարձրացնել արտադրողականությունը և պահպանել ավանդական մշակութային լանդշաֆտները: Այն օգտագործվում է էկոլոգիական կրթության, էկոտուրիզմի և կիրառական և  հիմնարար հետազոտությունների և կայուն զարգացմանն աջակցելու համար: </w:t>
      </w:r>
    </w:p>
    <w:p w:rsidR="00C73C89" w:rsidRPr="00B04D0C" w:rsidRDefault="00C73C89" w:rsidP="00C73C89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Բացի այդ, Շահապոնք ՊՏ-ը ունի պետական  </w:t>
      </w:r>
      <w:r w:rsidRPr="000A2A86">
        <w:rPr>
          <w:rFonts w:ascii="Sylfaen" w:hAnsi="Sylfaen" w:cs="Arial"/>
          <w:sz w:val="22"/>
          <w:szCs w:val="22"/>
          <w:lang w:val="hy-AM" w:eastAsia="en-US"/>
        </w:rPr>
        <w:t>ս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ահմանային գոտի /1,307/: Հասարակական ձայն ՀԿ-ը և ԲՀՀ-ը կհամագործակցեն սահմանապահների հետ՝ կանխելու որսագողությունը: </w:t>
      </w:r>
    </w:p>
    <w:p w:rsidR="00C73C89" w:rsidRPr="00B04D0C" w:rsidRDefault="00C73C89" w:rsidP="00C73C89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</w:p>
    <w:p w:rsidR="00C73C89" w:rsidRPr="00B04D0C" w:rsidRDefault="00C73C89" w:rsidP="00C73C89">
      <w:pPr>
        <w:numPr>
          <w:ilvl w:val="0"/>
          <w:numId w:val="1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B04D0C">
        <w:rPr>
          <w:rFonts w:ascii="Sylfaen" w:hAnsi="Sylfaen" w:cs="Arial"/>
          <w:b/>
          <w:sz w:val="22"/>
          <w:szCs w:val="22"/>
          <w:lang w:val="hy-AM"/>
        </w:rPr>
        <w:t>Չօգտագործվող, չխաթարվող գոտիների հիմնում</w:t>
      </w:r>
    </w:p>
    <w:p w:rsidR="00C73C89" w:rsidRPr="00B04D0C" w:rsidRDefault="00C73C89" w:rsidP="00C73C89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Շահապոնք ՊՏ-ի հիմնական գոտիները /2,276 հա/ պետք է լինեն չօգտագործվող, չխաթարվող գոտիներ. Արևիս գյուղի տարածքում՝ 1094.4 հա, Բռնակոթ գյուղում ՝ 202.5 հա, Սալվարդ գյուղում՝ 235.1 հա և Թասիկ գյուղում՝ 744 հա /Տես Հավելված 5-ի քարտեզը/:  </w:t>
      </w:r>
    </w:p>
    <w:p w:rsidR="00C73C89" w:rsidRPr="009F1683" w:rsidRDefault="00C73C89" w:rsidP="00C73C89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C73C89" w:rsidRPr="00B04D0C" w:rsidRDefault="00C73C89" w:rsidP="00C73C89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B04D0C">
        <w:rPr>
          <w:rFonts w:ascii="Sylfaen" w:hAnsi="Sylfaen" w:cs="Arial"/>
          <w:b/>
          <w:sz w:val="22"/>
          <w:szCs w:val="22"/>
          <w:lang w:val="hy-AM"/>
        </w:rPr>
        <w:t>Արոտավայրերի կանոնավոր կառավարման համակարգի հիմնում</w:t>
      </w:r>
      <w:r w:rsidRPr="00B04D0C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73C89" w:rsidRPr="00B04D0C" w:rsidRDefault="00C73C89" w:rsidP="00C73C89">
      <w:pPr>
        <w:pStyle w:val="ListParagraph"/>
        <w:ind w:left="0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B04D0C">
        <w:rPr>
          <w:rFonts w:ascii="Sylfaen" w:hAnsi="Sylfaen" w:cs="Arial"/>
          <w:sz w:val="22"/>
          <w:szCs w:val="22"/>
          <w:lang w:val="hy-AM"/>
        </w:rPr>
        <w:t xml:space="preserve">Շահապոնք ՊՏ-ի հիմնական գոտին փակ է արածեցման համար: Կայուն օգտագործման գոտում արոտավայրերի օգտագործումը կկանոնակարգվի՝ թույլ տալու համար գարնանը խոտի բավարար աճը և, այդպիսով, բարձրացնելու նրանց արտադրողականությունը, միևնույն ժամանակ նվազեցնելով գերարածեցման և տրորման հետևանքով հողի էրոզիան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/Տես Հավելված 5-ի քարտեզը/: </w:t>
      </w:r>
    </w:p>
    <w:p w:rsidR="00C73C89" w:rsidRDefault="00C73C89" w:rsidP="00C73C89">
      <w:pPr>
        <w:pStyle w:val="ListParagraph"/>
        <w:rPr>
          <w:rFonts w:ascii="Sylfaen" w:hAnsi="Sylfaen" w:cs="Arial"/>
          <w:b/>
          <w:sz w:val="22"/>
          <w:szCs w:val="22"/>
          <w:lang w:val="en-US"/>
        </w:rPr>
      </w:pPr>
    </w:p>
    <w:p w:rsidR="00C73C89" w:rsidRDefault="00C73C89" w:rsidP="00C73C89">
      <w:pPr>
        <w:pStyle w:val="ListParagraph"/>
        <w:rPr>
          <w:rFonts w:ascii="Sylfaen" w:hAnsi="Sylfaen" w:cs="Arial"/>
          <w:b/>
          <w:sz w:val="22"/>
          <w:szCs w:val="22"/>
          <w:lang w:val="en-US"/>
        </w:rPr>
      </w:pPr>
    </w:p>
    <w:p w:rsidR="00C73C89" w:rsidRPr="00C73C89" w:rsidRDefault="00C73C89" w:rsidP="00C73C89">
      <w:pPr>
        <w:pStyle w:val="ListParagraph"/>
        <w:rPr>
          <w:rFonts w:ascii="Sylfaen" w:hAnsi="Sylfaen" w:cs="Arial"/>
          <w:b/>
          <w:sz w:val="22"/>
          <w:szCs w:val="22"/>
          <w:lang w:val="en-US"/>
        </w:rPr>
      </w:pPr>
    </w:p>
    <w:p w:rsidR="00C73C89" w:rsidRPr="00B04D0C" w:rsidRDefault="00C73C89" w:rsidP="00C73C89">
      <w:pPr>
        <w:pStyle w:val="ListParagraph"/>
        <w:ind w:left="786"/>
        <w:jc w:val="both"/>
        <w:rPr>
          <w:rFonts w:ascii="Sylfaen" w:hAnsi="Sylfaen" w:cs="Arial"/>
          <w:b/>
          <w:sz w:val="22"/>
          <w:szCs w:val="22"/>
          <w:lang w:val="hy-A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C73C89" w:rsidRPr="00B04D0C" w:rsidTr="005C060C">
        <w:tc>
          <w:tcPr>
            <w:tcW w:w="4253" w:type="dxa"/>
            <w:shd w:val="clear" w:color="auto" w:fill="auto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մայիսի 15-ից</w:t>
            </w:r>
          </w:p>
        </w:tc>
        <w:tc>
          <w:tcPr>
            <w:tcW w:w="3118" w:type="dxa"/>
            <w:shd w:val="clear" w:color="auto" w:fill="auto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Կ2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և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Կ5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870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C73C89" w:rsidRPr="00B04D0C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արոտավայրը բաց է արածեցման համար </w:t>
            </w:r>
            <w:r w:rsidRPr="00B04D0C">
              <w:rPr>
                <w:rFonts w:ascii="Sylfaen" w:hAnsi="Sylfaen" w:cs="Arial"/>
                <w:sz w:val="22"/>
                <w:szCs w:val="22"/>
                <w:lang w:val="en-US"/>
              </w:rPr>
              <w:t>հ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ունիսի</w:t>
            </w:r>
            <w:r w:rsidRPr="00B04D0C">
              <w:rPr>
                <w:rFonts w:ascii="Sylfaen" w:hAnsi="Sylfaen" w:cs="Arial"/>
                <w:sz w:val="22"/>
                <w:szCs w:val="22"/>
              </w:rPr>
              <w:t xml:space="preserve"> 1-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C73C89" w:rsidRPr="00B04D0C" w:rsidRDefault="00C73C89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1,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3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և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669" w:type="dxa"/>
            <w:shd w:val="clear" w:color="auto" w:fill="auto"/>
          </w:tcPr>
          <w:p w:rsidR="00C73C89" w:rsidRPr="00B04D0C" w:rsidRDefault="00C73C89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ru-RU"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2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,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568 հա</w:t>
            </w:r>
          </w:p>
        </w:tc>
      </w:tr>
      <w:tr w:rsidR="00C73C89" w:rsidRPr="00B04D0C" w:rsidTr="005C060C">
        <w:trPr>
          <w:trHeight w:val="540"/>
        </w:trPr>
        <w:tc>
          <w:tcPr>
            <w:tcW w:w="4253" w:type="dxa"/>
            <w:shd w:val="clear" w:color="auto" w:fill="auto"/>
          </w:tcPr>
          <w:p w:rsidR="00C73C89" w:rsidRPr="00B04D0C" w:rsidRDefault="00C73C89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C73C89" w:rsidRPr="00B04D0C" w:rsidRDefault="00C73C89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1,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2,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3 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և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C73C89" w:rsidRPr="00B04D0C" w:rsidRDefault="00C73C89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>2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,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276 </w:t>
            </w: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</w:tbl>
    <w:p w:rsidR="00C73C89" w:rsidRPr="00B04D0C" w:rsidRDefault="00C73C89" w:rsidP="00C73C89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C73C89" w:rsidRPr="00B04D0C" w:rsidRDefault="00C73C89" w:rsidP="00C73C89">
      <w:pPr>
        <w:numPr>
          <w:ilvl w:val="0"/>
          <w:numId w:val="1"/>
        </w:numPr>
        <w:jc w:val="both"/>
        <w:rPr>
          <w:rFonts w:ascii="Sylfaen" w:hAnsi="Sylfaen" w:cs="Arial"/>
          <w:b/>
          <w:sz w:val="22"/>
          <w:szCs w:val="22"/>
          <w:lang w:val="en-US" w:eastAsia="en-US"/>
        </w:rPr>
      </w:pPr>
      <w:r w:rsidRPr="00B04D0C">
        <w:rPr>
          <w:rFonts w:ascii="Sylfaen" w:hAnsi="Sylfaen"/>
          <w:b/>
          <w:sz w:val="22"/>
          <w:szCs w:val="22"/>
          <w:lang w:val="hy-AM"/>
        </w:rPr>
        <w:t>Որսագողության դեմ պայքար</w:t>
      </w:r>
    </w:p>
    <w:p w:rsidR="00C73C89" w:rsidRPr="00B04D0C" w:rsidRDefault="00C73C89" w:rsidP="00C73C89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Շահապոնք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ՊՏ-ի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խնամակալների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ծառայությ</w:t>
      </w:r>
      <w:proofErr w:type="spellEnd"/>
      <w:r w:rsidRPr="00B04D0C">
        <w:rPr>
          <w:rFonts w:ascii="Sylfaen" w:hAnsi="Sylfaen" w:cs="Arial"/>
          <w:sz w:val="22"/>
          <w:szCs w:val="22"/>
          <w:lang w:val="ru-RU" w:eastAsia="en-US"/>
        </w:rPr>
        <w:t>ունը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վայրի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կենդանիների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կառավարման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և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որսագողության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հետ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կապված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կընդգրկի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Հիմնական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ru-RU" w:eastAsia="en-US"/>
        </w:rPr>
        <w:t>և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ru-RU" w:eastAsia="en-US"/>
        </w:rPr>
        <w:t>Կայուն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ru-RU" w:eastAsia="en-US"/>
        </w:rPr>
        <w:t>օգտագործման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գոտիներ</w:t>
      </w:r>
      <w:proofErr w:type="spellEnd"/>
      <w:r w:rsidRPr="00B04D0C">
        <w:rPr>
          <w:rFonts w:ascii="Sylfaen" w:hAnsi="Sylfaen" w:cs="Arial"/>
          <w:sz w:val="22"/>
          <w:szCs w:val="22"/>
          <w:lang w:val="ru-RU" w:eastAsia="en-US"/>
        </w:rPr>
        <w:t>ն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ամբողջությամբ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: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Ամենօրյա պարեկությունը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կստեղծվի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հստակ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պարեկության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պլանի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և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Շահապոնք ՊՏ-ի ընկերներին և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տրանսպորտային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միջոցների</w:t>
      </w:r>
      <w:proofErr w:type="spellEnd"/>
      <w:r w:rsidRPr="00B04D0C">
        <w:rPr>
          <w:rFonts w:ascii="Sylfaen" w:hAnsi="Sylfaen" w:cs="Arial"/>
          <w:sz w:val="22"/>
          <w:szCs w:val="22"/>
          <w:lang w:val="hy-AM" w:eastAsia="en-US"/>
        </w:rPr>
        <w:t>ն հետևելու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համակարգի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միջոցով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>: «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Հասարակական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ձայն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>» ՀԿ-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ը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և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WWF-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ը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կանոնավոր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կերպով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կվերահսկեն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Շահապոնք ՊՏ-ի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խնամակալների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ծառայությունը</w:t>
      </w:r>
      <w:proofErr w:type="spellEnd"/>
      <w:r w:rsidRPr="00B04D0C">
        <w:rPr>
          <w:rFonts w:ascii="Sylfaen" w:hAnsi="Sylfaen" w:cs="Arial"/>
          <w:sz w:val="22"/>
          <w:szCs w:val="22"/>
          <w:lang w:val="hy-AM" w:eastAsia="en-US"/>
        </w:rPr>
        <w:t>՝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անհրաժեշտության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դեպքում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ընդունելով հարմարվող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կառավարում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: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Առնվազն հինգ արգելափակոցներ և տասը նախազգուշացնող նշաններ կտեղադրվեն հիմնական գոտում՝ կանխելու որսագողերի մուտքը հիմնական ապրելավայրեր: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Ընդ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որում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,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հիմնական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ապրե</w:t>
      </w:r>
      <w:r>
        <w:rPr>
          <w:rFonts w:ascii="Sylfaen" w:hAnsi="Sylfaen" w:cs="Arial"/>
          <w:sz w:val="22"/>
          <w:szCs w:val="22"/>
          <w:lang w:val="en-US" w:eastAsia="en-US"/>
        </w:rPr>
        <w:t>լ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>ավայրերում կտեղադրվեն ծուղակային և առցանց</w:t>
      </w:r>
      <w:r w:rsidRPr="00B04D0C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proofErr w:type="spellStart"/>
      <w:r w:rsidRPr="00B04D0C">
        <w:rPr>
          <w:rFonts w:ascii="Sylfaen" w:hAnsi="Sylfaen" w:cs="Arial"/>
          <w:sz w:val="22"/>
          <w:szCs w:val="22"/>
          <w:lang w:val="en-US" w:eastAsia="en-US"/>
        </w:rPr>
        <w:t>տեսախցիկներ</w:t>
      </w:r>
      <w:proofErr w:type="spellEnd"/>
      <w:r w:rsidRPr="00B04D0C">
        <w:rPr>
          <w:rFonts w:ascii="Sylfaen" w:hAnsi="Sylfaen" w:cs="Arial"/>
          <w:sz w:val="22"/>
          <w:szCs w:val="22"/>
          <w:lang w:val="en-US" w:eastAsia="en-US"/>
        </w:rPr>
        <w:t>: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 </w:t>
      </w:r>
    </w:p>
    <w:p w:rsidR="00C73C89" w:rsidRPr="00B04D0C" w:rsidRDefault="00C73C89" w:rsidP="00C73C89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C73C89" w:rsidRPr="00B04D0C" w:rsidRDefault="00C73C89" w:rsidP="00C73C89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b/>
          <w:sz w:val="22"/>
          <w:szCs w:val="22"/>
          <w:lang w:val="en-US" w:eastAsia="en-US"/>
        </w:rPr>
      </w:pPr>
      <w:proofErr w:type="spellStart"/>
      <w:r w:rsidRPr="00B04D0C">
        <w:rPr>
          <w:rFonts w:ascii="Sylfaen" w:hAnsi="Sylfaen" w:cs="Arial"/>
          <w:b/>
          <w:sz w:val="22"/>
          <w:szCs w:val="22"/>
          <w:lang w:val="en-US" w:eastAsia="en-US"/>
        </w:rPr>
        <w:t>Մոնիտորինգ</w:t>
      </w:r>
      <w:proofErr w:type="spellEnd"/>
    </w:p>
    <w:p w:rsidR="00C73C89" w:rsidRPr="00B04D0C" w:rsidRDefault="00C73C89" w:rsidP="00C73C89">
      <w:p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B04D0C">
        <w:rPr>
          <w:rFonts w:ascii="Sylfaen" w:hAnsi="Sylfaen"/>
          <w:sz w:val="22"/>
          <w:szCs w:val="22"/>
          <w:lang w:val="hy-AM"/>
        </w:rPr>
        <w:t xml:space="preserve">Պահպանության միջոցառումների հաջողությունները ստուգելու և ձախողման դեպքում դրանք ուղղելու համար </w:t>
      </w:r>
      <w:r w:rsidRPr="00B04D0C">
        <w:rPr>
          <w:rFonts w:ascii="Sylfaen" w:hAnsi="Sylfaen"/>
          <w:sz w:val="22"/>
          <w:szCs w:val="22"/>
          <w:lang w:val="en-US"/>
        </w:rPr>
        <w:t>“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Հասարակական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ձայն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” ՀԿ-ի </w:t>
      </w:r>
      <w:r w:rsidRPr="00B04D0C">
        <w:rPr>
          <w:rFonts w:ascii="Sylfaen" w:hAnsi="Sylfaen"/>
          <w:sz w:val="22"/>
          <w:szCs w:val="22"/>
          <w:lang w:val="hy-AM"/>
        </w:rPr>
        <w:t xml:space="preserve">կողմից ԲՀՀ-ի տեխնիկական աջակցությամբ կստեղծվի </w:t>
      </w:r>
      <w:r w:rsidRPr="00B04D0C">
        <w:rPr>
          <w:rFonts w:ascii="Sylfaen" w:hAnsi="Sylfaen"/>
          <w:sz w:val="22"/>
          <w:szCs w:val="22"/>
          <w:lang w:val="ru-RU"/>
        </w:rPr>
        <w:t>ա</w:t>
      </w:r>
      <w:r w:rsidRPr="00B04D0C">
        <w:rPr>
          <w:rFonts w:ascii="Sylfaen" w:hAnsi="Sylfaen"/>
          <w:sz w:val="22"/>
          <w:szCs w:val="22"/>
          <w:lang w:val="hy-AM"/>
        </w:rPr>
        <w:t>զդեցության մոնիտորինգի համակարգ, որը կներառի վայրի կենդանիների</w:t>
      </w:r>
      <w:r w:rsidRPr="00B04D0C">
        <w:rPr>
          <w:rFonts w:ascii="Sylfaen" w:hAnsi="Sylfaen"/>
          <w:sz w:val="22"/>
          <w:szCs w:val="22"/>
          <w:lang w:val="en-US"/>
        </w:rPr>
        <w:t>ն</w:t>
      </w:r>
      <w:r w:rsidRPr="00B04D0C">
        <w:rPr>
          <w:rFonts w:ascii="Sylfaen" w:hAnsi="Sylfaen"/>
          <w:sz w:val="22"/>
          <w:szCs w:val="22"/>
          <w:lang w:val="hy-AM"/>
        </w:rPr>
        <w:t xml:space="preserve"> կանոնավոր կերպով հաշվել</w:t>
      </w:r>
      <w:r w:rsidRPr="00B04D0C">
        <w:rPr>
          <w:rFonts w:ascii="Sylfaen" w:hAnsi="Sylfaen"/>
          <w:sz w:val="22"/>
          <w:szCs w:val="22"/>
          <w:lang w:val="en-US"/>
        </w:rPr>
        <w:t>ը</w:t>
      </w:r>
      <w:r w:rsidRPr="00B04D0C">
        <w:rPr>
          <w:rFonts w:ascii="Sylfaen" w:hAnsi="Sylfaen"/>
          <w:sz w:val="22"/>
          <w:szCs w:val="22"/>
          <w:lang w:val="hy-AM"/>
        </w:rPr>
        <w:t xml:space="preserve"> և դիտ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ումը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Մոնիտորինգ</w:t>
      </w:r>
      <w:proofErr w:type="spellEnd"/>
      <w:r w:rsidRPr="00B04D0C">
        <w:rPr>
          <w:rFonts w:ascii="Sylfaen" w:hAnsi="Sylfaen"/>
          <w:sz w:val="22"/>
          <w:szCs w:val="22"/>
          <w:lang w:val="ru-RU"/>
        </w:rPr>
        <w:t>ի</w:t>
      </w:r>
      <w:r w:rsidRPr="00B04D0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արդյունքները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կներառվեն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տարեկան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B04D0C">
        <w:rPr>
          <w:rFonts w:ascii="Sylfaen" w:hAnsi="Sylfaen"/>
          <w:sz w:val="22"/>
          <w:szCs w:val="22"/>
          <w:lang w:val="en-US"/>
        </w:rPr>
        <w:t>հաշվետվություններում</w:t>
      </w:r>
      <w:proofErr w:type="spellEnd"/>
      <w:r w:rsidRPr="00B04D0C">
        <w:rPr>
          <w:rFonts w:ascii="Sylfaen" w:hAnsi="Sylfaen"/>
          <w:sz w:val="22"/>
          <w:szCs w:val="22"/>
          <w:lang w:val="en-US"/>
        </w:rPr>
        <w:t>:</w:t>
      </w:r>
      <w:r w:rsidRPr="00B04D0C">
        <w:rPr>
          <w:rFonts w:ascii="Sylfaen" w:hAnsi="Sylfaen" w:cs="Arial"/>
          <w:sz w:val="22"/>
          <w:szCs w:val="22"/>
          <w:lang w:val="hy-AM" w:eastAsia="en-US"/>
        </w:rPr>
        <w:t xml:space="preserve"> </w:t>
      </w:r>
    </w:p>
    <w:p w:rsidR="00C73C89" w:rsidRPr="00B04D0C" w:rsidRDefault="00C73C89" w:rsidP="00C73C89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C73C89" w:rsidRPr="00B04D0C" w:rsidSect="000E19D1">
          <w:footerReference w:type="default" r:id="rId6"/>
          <w:pgSz w:w="11910" w:h="16840"/>
          <w:pgMar w:top="640" w:right="1278" w:bottom="560" w:left="1340" w:header="0" w:footer="365" w:gutter="0"/>
          <w:cols w:space="720"/>
          <w:noEndnote/>
        </w:sectPr>
      </w:pPr>
    </w:p>
    <w:p w:rsidR="00C73C89" w:rsidRPr="00B04D0C" w:rsidRDefault="00C73C89" w:rsidP="00C73C89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B04D0C">
        <w:rPr>
          <w:rFonts w:ascii="Sylfaen" w:hAnsi="Sylfaen"/>
          <w:b/>
          <w:sz w:val="22"/>
          <w:szCs w:val="22"/>
        </w:rPr>
        <w:lastRenderedPageBreak/>
        <w:t xml:space="preserve">Սիսիան համայնքի </w:t>
      </w:r>
      <w:r>
        <w:rPr>
          <w:rFonts w:ascii="Sylfaen" w:hAnsi="Sylfaen"/>
          <w:b/>
          <w:sz w:val="22"/>
          <w:szCs w:val="22"/>
        </w:rPr>
        <w:t xml:space="preserve">Շահապոնք ՊՏ-ի </w:t>
      </w:r>
      <w:r w:rsidRPr="00B04D0C">
        <w:rPr>
          <w:rFonts w:ascii="Sylfaen" w:hAnsi="Sylfaen"/>
          <w:b/>
          <w:sz w:val="22"/>
          <w:szCs w:val="22"/>
        </w:rPr>
        <w:t>վայրի կենդանիների ապրելավայրի 2018-2024թ.թ.</w:t>
      </w:r>
    </w:p>
    <w:p w:rsidR="00C73C89" w:rsidRPr="00B04D0C" w:rsidRDefault="00C73C89" w:rsidP="00C73C89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B04D0C">
        <w:rPr>
          <w:rFonts w:ascii="Sylfaen" w:hAnsi="Sylfaen"/>
          <w:b/>
          <w:sz w:val="22"/>
          <w:szCs w:val="22"/>
        </w:rPr>
        <w:t>Գործողությունների պլան</w:t>
      </w:r>
    </w:p>
    <w:p w:rsidR="00C73C89" w:rsidRPr="00B04D0C" w:rsidRDefault="00C73C89" w:rsidP="00C73C89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"/>
        <w:gridCol w:w="1701"/>
        <w:gridCol w:w="3544"/>
        <w:gridCol w:w="1418"/>
        <w:gridCol w:w="1540"/>
        <w:gridCol w:w="2712"/>
        <w:gridCol w:w="2977"/>
      </w:tblGrid>
      <w:tr w:rsidR="00C73C89" w:rsidRPr="00B04D0C" w:rsidTr="00C73C89">
        <w:trPr>
          <w:tblHeader/>
        </w:trPr>
        <w:tc>
          <w:tcPr>
            <w:tcW w:w="1764" w:type="dxa"/>
            <w:gridSpan w:val="2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0"/>
                <w:szCs w:val="20"/>
                <w:lang w:val="en-GB" w:eastAsia="ru-RU"/>
              </w:rPr>
            </w:pPr>
            <w:r w:rsidRPr="00B04D0C">
              <w:rPr>
                <w:rFonts w:ascii="Sylfaen" w:hAnsi="Sylfaen"/>
                <w:b/>
                <w:sz w:val="20"/>
                <w:szCs w:val="20"/>
              </w:rPr>
              <w:t>Նպատակը</w:t>
            </w:r>
          </w:p>
        </w:tc>
        <w:tc>
          <w:tcPr>
            <w:tcW w:w="1701" w:type="dxa"/>
          </w:tcPr>
          <w:p w:rsidR="00C73C89" w:rsidRPr="00B04D0C" w:rsidRDefault="00C73C89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r w:rsidRPr="00B04D0C">
              <w:rPr>
                <w:rFonts w:ascii="Sylfaen" w:hAnsi="Sylfaen" w:cs="Arial"/>
                <w:b/>
                <w:i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</w:rPr>
              <w:t>Խնդիրը</w:t>
            </w:r>
            <w:proofErr w:type="spellEnd"/>
          </w:p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3544" w:type="dxa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B04D0C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Իրականացվելիք միջոցառումների նկարագրությունը</w:t>
            </w:r>
          </w:p>
        </w:tc>
        <w:tc>
          <w:tcPr>
            <w:tcW w:w="1418" w:type="dxa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GB" w:eastAsia="ru-RU"/>
              </w:rPr>
            </w:pPr>
            <w:r w:rsidRPr="00B04D0C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Իրականացման ժամկետը</w:t>
            </w:r>
          </w:p>
        </w:tc>
        <w:tc>
          <w:tcPr>
            <w:tcW w:w="1540" w:type="dxa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0"/>
                <w:szCs w:val="20"/>
                <w:lang w:val="en-GB" w:eastAsia="ru-RU"/>
              </w:rPr>
            </w:pPr>
            <w:r w:rsidRPr="00B04D0C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Պատասխանատու մարմինը</w:t>
            </w:r>
          </w:p>
        </w:tc>
        <w:tc>
          <w:tcPr>
            <w:tcW w:w="2712" w:type="dxa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GB" w:eastAsia="ru-RU"/>
              </w:rPr>
            </w:pPr>
            <w:r w:rsidRPr="00B04D0C"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B04D0C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ru-RU"/>
              </w:rPr>
              <w:t>Կատարողականի ցուցանիշները</w:t>
            </w:r>
          </w:p>
        </w:tc>
        <w:tc>
          <w:tcPr>
            <w:tcW w:w="2977" w:type="dxa"/>
          </w:tcPr>
          <w:p w:rsidR="00C73C89" w:rsidRPr="00B04D0C" w:rsidRDefault="00C73C89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r w:rsidRPr="00B04D0C">
              <w:rPr>
                <w:rFonts w:ascii="Sylfaen" w:hAnsi="Sylfaen"/>
                <w:b/>
                <w:i/>
                <w:color w:val="000000"/>
              </w:rPr>
              <w:t>Ազդեցության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</w:rPr>
              <w:t>ցուցանիշը</w:t>
            </w:r>
            <w:proofErr w:type="spellEnd"/>
          </w:p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GB" w:eastAsia="ru-RU"/>
              </w:rPr>
            </w:pPr>
          </w:p>
        </w:tc>
      </w:tr>
      <w:tr w:rsidR="00C73C89" w:rsidRPr="00B04D0C" w:rsidTr="00C73C89">
        <w:trPr>
          <w:trHeight w:val="310"/>
          <w:tblHeader/>
        </w:trPr>
        <w:tc>
          <w:tcPr>
            <w:tcW w:w="7009" w:type="dxa"/>
            <w:gridSpan w:val="4"/>
            <w:shd w:val="clear" w:color="auto" w:fill="D9D9D9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ylfaen" w:hAnsi="Sylfaen" w:cs="Arial"/>
                <w:sz w:val="20"/>
                <w:szCs w:val="20"/>
                <w:lang w:val="en-US" w:eastAsia="en-US"/>
              </w:rPr>
            </w:pPr>
            <w:r w:rsidRPr="00B04D0C">
              <w:rPr>
                <w:rFonts w:ascii="Sylfaen" w:hAnsi="Sylfaen"/>
                <w:b/>
                <w:sz w:val="20"/>
                <w:szCs w:val="20"/>
                <w:lang w:val="ru-RU"/>
              </w:rPr>
              <w:t>Կարճաժամկետ միջոցառումներ (</w:t>
            </w:r>
            <w:proofErr w:type="spellStart"/>
            <w:r w:rsidRPr="00B04D0C">
              <w:rPr>
                <w:rFonts w:ascii="Sylfaen" w:hAnsi="Sylfaen"/>
                <w:b/>
                <w:sz w:val="20"/>
                <w:szCs w:val="20"/>
                <w:lang w:val="en-US"/>
              </w:rPr>
              <w:t>Ներդրումային</w:t>
            </w:r>
            <w:proofErr w:type="spellEnd"/>
            <w:r w:rsidRPr="00B04D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sz w:val="20"/>
                <w:szCs w:val="20"/>
                <w:lang w:val="en-US"/>
              </w:rPr>
              <w:t>գործողությունները</w:t>
            </w:r>
            <w:proofErr w:type="spellEnd"/>
            <w:r w:rsidRPr="00B04D0C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1540" w:type="dxa"/>
            <w:shd w:val="clear" w:color="auto" w:fill="D9D9D9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712" w:type="dxa"/>
            <w:shd w:val="clear" w:color="auto" w:fill="D9D9D9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73C89" w:rsidRPr="00B04D0C" w:rsidTr="00C73C89">
        <w:trPr>
          <w:trHeight w:val="1189"/>
          <w:tblHeader/>
        </w:trPr>
        <w:tc>
          <w:tcPr>
            <w:tcW w:w="1638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en-US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Սարքավորումներ</w:t>
            </w:r>
            <w:proofErr w:type="spellEnd"/>
          </w:p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hy-AM" w:eastAsia="ru-RU"/>
              </w:rPr>
              <w:t xml:space="preserve">Ապրելավայրերի պահպանության համար սարքավորումների գնում </w:t>
            </w:r>
          </w:p>
        </w:tc>
        <w:tc>
          <w:tcPr>
            <w:tcW w:w="3544" w:type="dxa"/>
            <w:vAlign w:val="center"/>
          </w:tcPr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>2 ամենագնաց մեքենա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Գրասենյակի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կահույք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և</w:t>
            </w:r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սարքավորումներ</w:t>
            </w:r>
            <w:proofErr w:type="spellEnd"/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>Համազգեստ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>Արգելափակոցներ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>Նախազգուշացնող նշաններ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GPS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Հեռադիտակներ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hy-AM" w:eastAsia="ru-RU"/>
              </w:rPr>
              <w:t xml:space="preserve"> </w:t>
            </w:r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Ֆոտոխցիկներ</w:t>
            </w:r>
            <w:proofErr w:type="spellEnd"/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Տեսախցիկներ</w:t>
            </w:r>
            <w:proofErr w:type="spellEnd"/>
          </w:p>
          <w:p w:rsidR="00C73C89" w:rsidRPr="00B04D0C" w:rsidRDefault="00C73C89" w:rsidP="00C73C8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Ծուղակ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ru-RU" w:eastAsia="ru-RU"/>
              </w:rPr>
              <w:t>այի</w:t>
            </w:r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 xml:space="preserve">ն </w:t>
            </w: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տեսախցիկներ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en-US" w:eastAsia="ru-RU"/>
              </w:rPr>
              <w:t>Ապրիլ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hy-AM" w:eastAsia="ru-RU"/>
              </w:rPr>
              <w:t xml:space="preserve">  2018 </w:t>
            </w:r>
          </w:p>
        </w:tc>
        <w:tc>
          <w:tcPr>
            <w:tcW w:w="1540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en-US" w:eastAsia="ru-RU"/>
              </w:rPr>
            </w:pPr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Հասարակական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ձայն</w:t>
            </w:r>
            <w:proofErr w:type="spellEnd"/>
            <w:r w:rsidRPr="00B04D0C">
              <w:rPr>
                <w:rFonts w:ascii="Sylfaen" w:hAnsi="Sylfaen" w:cs="Arial"/>
                <w:sz w:val="20"/>
                <w:szCs w:val="20"/>
                <w:lang w:val="en-US" w:eastAsia="ru-RU"/>
              </w:rPr>
              <w:t>” ՀԿ</w:t>
            </w:r>
          </w:p>
        </w:tc>
        <w:tc>
          <w:tcPr>
            <w:tcW w:w="2712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proofErr w:type="spellStart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>Ապրելավայրերի</w:t>
            </w:r>
            <w:proofErr w:type="spellEnd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>պահպանության</w:t>
            </w:r>
            <w:proofErr w:type="spellEnd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proofErr w:type="spellEnd"/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 xml:space="preserve"> տ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եխնիկապես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պահպանված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համապատասխան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տեխնիկայի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առկայություն</w:t>
            </w:r>
            <w:r w:rsidRPr="00B04D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Շնորհիվ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տեխնիկական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կարողությունների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A2A86">
              <w:rPr>
                <w:rFonts w:ascii="Sylfaen" w:hAnsi="Sylfaen"/>
                <w:sz w:val="20"/>
                <w:szCs w:val="20"/>
                <w:lang w:val="hy-AM"/>
              </w:rPr>
              <w:t xml:space="preserve">հզորացման 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իրականացվում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պահպանության</w:t>
            </w:r>
            <w:r w:rsidRPr="00B04D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4D0C">
              <w:rPr>
                <w:rFonts w:ascii="Sylfaen" w:hAnsi="Sylfaen"/>
                <w:sz w:val="20"/>
                <w:szCs w:val="20"/>
                <w:lang w:val="hy-AM"/>
              </w:rPr>
              <w:t>միջոցառումները</w:t>
            </w:r>
            <w:r w:rsidRPr="00B04D0C">
              <w:rPr>
                <w:rFonts w:ascii="Sylfaen" w:hAnsi="Sylfaen" w:cs="Arial"/>
                <w:sz w:val="20"/>
                <w:szCs w:val="20"/>
                <w:lang w:val="hy-AM" w:eastAsia="ru-RU"/>
              </w:rPr>
              <w:t xml:space="preserve"> </w:t>
            </w:r>
          </w:p>
        </w:tc>
      </w:tr>
    </w:tbl>
    <w:p w:rsidR="00C73C89" w:rsidRPr="00B04D0C" w:rsidRDefault="00C73C89" w:rsidP="00C73C89">
      <w:pPr>
        <w:widowControl/>
        <w:autoSpaceDE/>
        <w:autoSpaceDN/>
        <w:adjustRightInd/>
        <w:rPr>
          <w:rFonts w:ascii="Sylfaen" w:hAnsi="Sylfaen"/>
          <w:sz w:val="22"/>
          <w:szCs w:val="22"/>
        </w:rPr>
      </w:pPr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701"/>
        <w:gridCol w:w="3544"/>
        <w:gridCol w:w="1418"/>
        <w:gridCol w:w="1540"/>
        <w:gridCol w:w="19"/>
        <w:gridCol w:w="2693"/>
        <w:gridCol w:w="2977"/>
      </w:tblGrid>
      <w:tr w:rsidR="00C73C89" w:rsidRPr="00B04D0C" w:rsidTr="00C73C89">
        <w:trPr>
          <w:tblHeader/>
        </w:trPr>
        <w:tc>
          <w:tcPr>
            <w:tcW w:w="1764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 w:cs="Arial"/>
                <w:b/>
                <w:sz w:val="22"/>
                <w:szCs w:val="22"/>
              </w:rPr>
              <w:t>Նպատակը</w:t>
            </w:r>
            <w:proofErr w:type="spellEnd"/>
          </w:p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 w:cs="Arial"/>
                <w:b/>
                <w:sz w:val="22"/>
                <w:szCs w:val="22"/>
              </w:rPr>
              <w:t>Խնդիրը</w:t>
            </w:r>
            <w:proofErr w:type="spellEnd"/>
          </w:p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ժամկետը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մարմինը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2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Կատարողականի ցուցանիշները 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ցուցանիշը</w:t>
            </w:r>
            <w:proofErr w:type="spellEnd"/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73C89" w:rsidRPr="00B04D0C" w:rsidTr="00C73C89">
        <w:trPr>
          <w:trHeight w:val="139"/>
        </w:trPr>
        <w:tc>
          <w:tcPr>
            <w:tcW w:w="7009" w:type="dxa"/>
            <w:gridSpan w:val="4"/>
            <w:shd w:val="clear" w:color="auto" w:fill="D9D9D9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br w:type="page"/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B04D0C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</w:tr>
      <w:tr w:rsidR="00C73C89" w:rsidRPr="00B04D0C" w:rsidTr="00C73C89">
        <w:trPr>
          <w:trHeight w:val="964"/>
        </w:trPr>
        <w:tc>
          <w:tcPr>
            <w:tcW w:w="172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  <w:lang w:eastAsia="en-US"/>
              </w:rPr>
              <w:t>Որսագողության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  <w:lang w:eastAsia="en-US"/>
              </w:rPr>
              <w:t>դեմ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  <w:lang w:eastAsia="en-US"/>
              </w:rPr>
              <w:t>պայքա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 w:eastAsia="en-US"/>
              </w:rPr>
              <w:t xml:space="preserve">ր </w:t>
            </w:r>
          </w:p>
        </w:tc>
        <w:tc>
          <w:tcPr>
            <w:tcW w:w="1737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Որսագողության կանխարգելում Շահապոնք ՊՏ-ում </w:t>
            </w: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 և Շահապոնք ՊՏ-ի ընկերների  պարեկություն վայրի կենդանիների ապրելավայրերի պահպանության և որսագողության նկատմամբ Շահապոնք ՊՏ-ի տարածքում: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2018թ.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մ</w:t>
            </w: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ա</w:t>
            </w: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յիս</w:t>
            </w:r>
            <w:proofErr w:type="spellEnd"/>
            <w:r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“Հասարակական ձայն” ՀԿ`Շահապոնք ՊՏ-ի ընկերների աջակցությամբ 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Անօրինական ոչնչացված վայրի կենդանիների թիվը</w:t>
            </w: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Բեզոարյան այծի և հայկական մուֆլոնի քանակը Շահապոնք ՊՏ-ում և թիրախային գյուղերի վարչական տարածքներում </w:t>
            </w: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</w:tr>
      <w:tr w:rsidR="00C73C89" w:rsidRPr="00B04D0C" w:rsidTr="00C73C89">
        <w:trPr>
          <w:trHeight w:val="521"/>
        </w:trPr>
        <w:tc>
          <w:tcPr>
            <w:tcW w:w="1728" w:type="dxa"/>
            <w:vMerge w:val="restart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Արոտավայրե</w:t>
            </w:r>
            <w:r w:rsidRPr="00B04D0C">
              <w:rPr>
                <w:rFonts w:ascii="Sylfaen" w:hAnsi="Sylfaen"/>
                <w:sz w:val="22"/>
                <w:szCs w:val="22"/>
              </w:rPr>
              <w:lastRenderedPageBreak/>
              <w:t>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կանոնավոր</w:t>
            </w:r>
            <w:r w:rsidRPr="00B04D0C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կառավար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ում 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lastRenderedPageBreak/>
              <w:t xml:space="preserve">Արածեցման 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lastRenderedPageBreak/>
              <w:t>կանոնակարգում</w:t>
            </w: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lastRenderedPageBreak/>
              <w:t>Կ2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>և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Կ5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արոտավայրերի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lastRenderedPageBreak/>
              <w:t>հասանել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ի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ությունը անասունների համար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-870 հա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 w:eastAsia="ru-RU"/>
              </w:rPr>
              <w:lastRenderedPageBreak/>
              <w:t xml:space="preserve">Ոչ շուտ </w:t>
            </w:r>
            <w:r w:rsidRPr="00B04D0C">
              <w:rPr>
                <w:rFonts w:ascii="Sylfaen" w:hAnsi="Sylfaen" w:cs="Arial"/>
                <w:sz w:val="22"/>
                <w:szCs w:val="22"/>
                <w:lang w:val="ru-RU" w:eastAsia="ru-RU"/>
              </w:rPr>
              <w:lastRenderedPageBreak/>
              <w:t xml:space="preserve">քան 2018թ. մայիսի 15-ը և շարունակական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 w:eastAsia="ru-RU"/>
              </w:rPr>
              <w:lastRenderedPageBreak/>
              <w:t xml:space="preserve">Համայնք </w:t>
            </w: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73C89" w:rsidRPr="00B04D0C" w:rsidRDefault="00C73C89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lastRenderedPageBreak/>
              <w:t>Անասունների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lastRenderedPageBreak/>
              <w:t>բացակայություն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3,438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հա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տարածքով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Կայուն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օգտագործման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գոտում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>մինչև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յուրաքանչյուր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տարվա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սահմանափակման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ժամանակաշրջանը</w:t>
            </w:r>
            <w:r w:rsidRPr="00B04D0C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lastRenderedPageBreak/>
              <w:t>Խոտհարքների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lastRenderedPageBreak/>
              <w:t>բարելավված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արտադրողականություն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</w:rPr>
              <w:t>և</w:t>
            </w:r>
            <w:r w:rsidRPr="00B04D0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կենսաբազմազանություն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՝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տրորում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ներ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ը  և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գերարածեցումը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արգելելու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միջոցով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: </w:t>
            </w:r>
            <w:r w:rsidRPr="00B04D0C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73C89" w:rsidRPr="00B04D0C" w:rsidTr="00C73C89">
        <w:trPr>
          <w:trHeight w:val="271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Կ1, Կ3 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Կ4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արոտավայրերի հասանելիությունը անասունների համար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– 2,568 հա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Ոչ շուտ քան 2018թ. hունիսի 1-ը և շարունակական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693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C73C89" w:rsidRPr="00B04D0C" w:rsidTr="00C73C89">
        <w:trPr>
          <w:trHeight w:val="2324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Հ1, Հ2, Հ3 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Հ4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արոտավայրերի հասանելիությունը անասունների համար</w:t>
            </w:r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/Հիմնական պահպանվող գոտի/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de-DE"/>
              </w:rPr>
            </w:pPr>
            <w:r w:rsidRPr="00B04D0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Անհասանելի է</w:t>
            </w:r>
            <w:r w:rsidRPr="00B04D0C">
              <w:rPr>
                <w:rFonts w:ascii="Sylfaen" w:hAnsi="Sylfaen"/>
                <w:color w:val="000000"/>
                <w:sz w:val="22"/>
                <w:szCs w:val="22"/>
                <w:lang w:val="de-DE"/>
              </w:rPr>
              <w:t xml:space="preserve"> սկսած 2018թ.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Sylfaen"/>
                <w:sz w:val="22"/>
                <w:szCs w:val="22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</w:t>
            </w:r>
          </w:p>
          <w:p w:rsidR="00C73C89" w:rsidRPr="00B04D0C" w:rsidRDefault="00C73C89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բացակայություն 2</w:t>
            </w:r>
            <w:r w:rsidRPr="00B04D0C">
              <w:rPr>
                <w:rFonts w:ascii="Sylfaen" w:hAnsi="Sylfaen" w:cs="Sylfaen"/>
                <w:sz w:val="22"/>
                <w:szCs w:val="22"/>
              </w:rPr>
              <w:t>,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276 հա տարածքով Հիմնական գոտում սկսած 2018թ. </w:t>
            </w:r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>7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վա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կտրվածքով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Անասուններից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ազատ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ապրելավայրեր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վայրի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կենդանիների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ապրելավայրերի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բնական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հաջորդականություն</w:t>
            </w:r>
            <w:proofErr w:type="spellEnd"/>
          </w:p>
        </w:tc>
      </w:tr>
      <w:tr w:rsidR="00C73C89" w:rsidRPr="00B04D0C" w:rsidTr="00C73C89">
        <w:trPr>
          <w:trHeight w:val="811"/>
        </w:trPr>
        <w:tc>
          <w:tcPr>
            <w:tcW w:w="1728" w:type="dxa"/>
            <w:vMerge w:val="restart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Մոնիտորնգ</w:t>
            </w:r>
          </w:p>
        </w:tc>
        <w:tc>
          <w:tcPr>
            <w:tcW w:w="1737" w:type="dxa"/>
            <w:gridSpan w:val="2"/>
            <w:vAlign w:val="center"/>
          </w:tcPr>
          <w:p w:rsidR="00C73C89" w:rsidRPr="00B04D0C" w:rsidDel="0084381B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Կատարված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միջոցառումների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ստուգում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Ամենօրյա կառավարում և համակարգում, խնամակալների և Շահապոնք ՊՏ-ի ընկերների առկայությունը տարածքում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>2018թ. մայիս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“Հասարակական ձայն” ՀԿ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</w:t>
            </w:r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աշխատանքային ամիսները տարվա մեջ</w:t>
            </w:r>
          </w:p>
          <w:p w:rsidR="00C73C89" w:rsidRPr="00B04D0C" w:rsidRDefault="00C73C89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Կառավարիչների աշխատանքային ամիսները տարվա մեջ</w:t>
            </w:r>
          </w:p>
          <w:p w:rsidR="00C73C89" w:rsidRPr="00B04D0C" w:rsidRDefault="00C73C89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>Ապրելավայրերի պահպանության պլանի իրականացում</w:t>
            </w:r>
          </w:p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4D0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Անօրինական գործողությունների ավելի արդյունավետ կանխում (որսագողություն և այլն) </w:t>
            </w:r>
          </w:p>
        </w:tc>
      </w:tr>
      <w:tr w:rsidR="00C73C89" w:rsidRPr="00B04D0C" w:rsidTr="00C73C89">
        <w:trPr>
          <w:trHeight w:val="1135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Ազդեցության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ցուցանիշների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 w:cs="Sylfaen"/>
                <w:sz w:val="22"/>
                <w:szCs w:val="22"/>
              </w:rPr>
              <w:t>հավաքագրում</w:t>
            </w:r>
            <w:proofErr w:type="spellEnd"/>
            <w:r w:rsidRPr="00B04D0C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Ամռան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համար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հաստատուն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հողակտորների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հետծննդյան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) և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վաղ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ձմռանը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զուգավորման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շրջան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)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և</w:t>
            </w:r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հայկական</w:t>
            </w:r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մուֆլոնի</w:t>
            </w:r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հաշվառում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Օգոստոս-նոյեմբեր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թ.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“Հասարակական ձայն” ՀԿ՝ ԲՀՀ-ի օժանդակությամբ 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Հաշվետվություն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</w:rPr>
              <w:t>և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վերաբերյալ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Բեզոարյան այծի և հայկական մուֆլոնի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հնարավորություն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C73C89" w:rsidRPr="00B04D0C" w:rsidTr="00C73C89">
        <w:trPr>
          <w:trHeight w:val="964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Ամռանը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հետծննդյան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և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վաղ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ձմռանը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զուգավորման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շրջան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բեզոարյան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այծի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և հայկական մուֆլոնի  </w:t>
            </w:r>
            <w:proofErr w:type="spellStart"/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հաշվառում</w:t>
            </w:r>
            <w:proofErr w:type="spellEnd"/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և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“Հասարակական ձայն” ՀԿ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 Տարեկան հաշվետվություններ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C73C89" w:rsidRPr="00B04D0C" w:rsidTr="00C73C89">
        <w:trPr>
          <w:trHeight w:val="389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արջին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</w:rPr>
              <w:t>և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ընձառյուծին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դիտելու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</w:rPr>
              <w:t>և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Մայիս-նոյեմբեր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8թ.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“Հասարակական ձայն” ՀԿ՝ ԲՀՀ-ի օժանդակությամբ 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Հաշվետվություն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B04D0C">
              <w:rPr>
                <w:rFonts w:ascii="Sylfaen" w:hAnsi="Sylfaen"/>
                <w:sz w:val="22"/>
                <w:szCs w:val="22"/>
              </w:rPr>
              <w:t>և</w:t>
            </w: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վերաբերյալ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Կենդանիների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հնարավորություն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C73C89" w:rsidRPr="00B04D0C" w:rsidTr="00C73C89">
        <w:trPr>
          <w:trHeight w:val="523"/>
        </w:trPr>
        <w:tc>
          <w:tcPr>
            <w:tcW w:w="1728" w:type="dxa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արջի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ընձառյուծի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դիտարկում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հաշվետվության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ներկայացում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B04D0C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սկսած</w:t>
            </w:r>
          </w:p>
        </w:tc>
        <w:tc>
          <w:tcPr>
            <w:tcW w:w="1559" w:type="dxa"/>
            <w:gridSpan w:val="2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 xml:space="preserve">“Հասարակական ձայն” ՀԿ </w:t>
            </w:r>
          </w:p>
        </w:tc>
        <w:tc>
          <w:tcPr>
            <w:tcW w:w="2693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B04D0C">
              <w:rPr>
                <w:rFonts w:ascii="Sylfaen" w:hAnsi="Sylfaen" w:cs="Arial"/>
                <w:sz w:val="22"/>
                <w:szCs w:val="22"/>
                <w:lang w:val="ru-RU"/>
              </w:rPr>
              <w:t>Տարեկան հաշվետվություններ</w:t>
            </w:r>
          </w:p>
        </w:tc>
        <w:tc>
          <w:tcPr>
            <w:tcW w:w="2977" w:type="dxa"/>
            <w:vAlign w:val="center"/>
          </w:tcPr>
          <w:p w:rsidR="00C73C89" w:rsidRPr="00B04D0C" w:rsidRDefault="00C73C89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թիրախային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տեսակների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D0C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B04D0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73C89" w:rsidRPr="00B04D0C" w:rsidRDefault="00C73C89" w:rsidP="00C73C89">
      <w:pPr>
        <w:widowControl/>
        <w:autoSpaceDE/>
        <w:autoSpaceDN/>
        <w:adjustRightInd/>
        <w:rPr>
          <w:rFonts w:ascii="Sylfaen" w:hAnsi="Sylfaen"/>
          <w:sz w:val="22"/>
          <w:szCs w:val="22"/>
        </w:rPr>
      </w:pPr>
    </w:p>
    <w:p w:rsidR="00C73C89" w:rsidRDefault="00C73C89" w:rsidP="00C73C89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b/>
          <w:bCs/>
          <w:spacing w:val="-2"/>
          <w:sz w:val="22"/>
          <w:szCs w:val="22"/>
          <w:u w:val="thick"/>
          <w:lang w:val="ru-RU"/>
        </w:rPr>
        <w:sectPr w:rsidR="00C73C89" w:rsidSect="000E19D1">
          <w:pgSz w:w="16840" w:h="11910" w:orient="landscape"/>
          <w:pgMar w:top="1338" w:right="641" w:bottom="1418" w:left="561" w:header="0" w:footer="363" w:gutter="0"/>
          <w:cols w:space="720"/>
          <w:noEndnote/>
          <w:docGrid w:linePitch="326"/>
        </w:sectPr>
      </w:pPr>
      <w:bookmarkStart w:id="1" w:name="_Toc479848441"/>
    </w:p>
    <w:p w:rsidR="00C73C89" w:rsidRPr="00B04D0C" w:rsidRDefault="00C73C89" w:rsidP="00C73C89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b/>
          <w:bCs/>
          <w:sz w:val="22"/>
          <w:szCs w:val="22"/>
          <w:u w:val="thick"/>
        </w:rPr>
      </w:pPr>
      <w:r w:rsidRPr="00B04D0C">
        <w:rPr>
          <w:rFonts w:ascii="Sylfaen" w:hAnsi="Sylfaen" w:cs="Arial"/>
          <w:b/>
          <w:bCs/>
          <w:spacing w:val="-2"/>
          <w:sz w:val="22"/>
          <w:szCs w:val="22"/>
          <w:u w:val="thick"/>
          <w:lang w:val="ru-RU"/>
        </w:rPr>
        <w:lastRenderedPageBreak/>
        <w:t>Հավելված</w:t>
      </w:r>
      <w:r w:rsidRPr="00B04D0C">
        <w:rPr>
          <w:rFonts w:ascii="Sylfaen" w:hAnsi="Sylfaen" w:cs="Arial"/>
          <w:b/>
          <w:bCs/>
          <w:spacing w:val="-2"/>
          <w:sz w:val="22"/>
          <w:szCs w:val="22"/>
          <w:u w:val="thick"/>
        </w:rPr>
        <w:t xml:space="preserve"> </w:t>
      </w:r>
      <w:r w:rsidRPr="00B04D0C">
        <w:rPr>
          <w:rFonts w:ascii="Sylfaen" w:hAnsi="Sylfaen" w:cs="Arial"/>
          <w:b/>
          <w:bCs/>
          <w:sz w:val="22"/>
          <w:szCs w:val="22"/>
          <w:u w:val="thick"/>
        </w:rPr>
        <w:t xml:space="preserve"> 5</w:t>
      </w:r>
    </w:p>
    <w:p w:rsidR="00C73C89" w:rsidRPr="00B04D0C" w:rsidRDefault="00C73C89" w:rsidP="00C73C89">
      <w:pPr>
        <w:widowControl/>
        <w:autoSpaceDE/>
        <w:autoSpaceDN/>
        <w:adjustRightInd/>
        <w:jc w:val="center"/>
        <w:rPr>
          <w:rFonts w:ascii="Sylfaen" w:hAnsi="Sylfaen" w:cs="Arial"/>
          <w:b/>
          <w:sz w:val="22"/>
          <w:szCs w:val="22"/>
        </w:rPr>
      </w:pPr>
    </w:p>
    <w:p w:rsidR="00C73C89" w:rsidRPr="00B04D0C" w:rsidRDefault="00C73C89" w:rsidP="00C73C89">
      <w:pPr>
        <w:jc w:val="center"/>
        <w:rPr>
          <w:b/>
        </w:rPr>
      </w:pPr>
      <w:r w:rsidRPr="00B04D0C">
        <w:rPr>
          <w:rFonts w:ascii="Sylfaen" w:hAnsi="Sylfaen"/>
          <w:b/>
          <w:sz w:val="22"/>
          <w:szCs w:val="22"/>
          <w:lang w:val="ru-RU"/>
        </w:rPr>
        <w:t>Շահապոնք</w:t>
      </w:r>
      <w:r w:rsidRPr="00B04D0C">
        <w:rPr>
          <w:rFonts w:ascii="Sylfaen" w:hAnsi="Sylfaen"/>
          <w:b/>
          <w:sz w:val="22"/>
          <w:szCs w:val="22"/>
        </w:rPr>
        <w:t xml:space="preserve"> </w:t>
      </w:r>
      <w:r w:rsidRPr="00B04D0C">
        <w:rPr>
          <w:rFonts w:ascii="Sylfaen" w:hAnsi="Sylfaen"/>
          <w:b/>
          <w:sz w:val="22"/>
          <w:szCs w:val="22"/>
          <w:lang w:val="ru-RU"/>
        </w:rPr>
        <w:t>ՊՏ</w:t>
      </w:r>
      <w:r w:rsidRPr="00B04D0C">
        <w:rPr>
          <w:rFonts w:ascii="Sylfaen" w:hAnsi="Sylfaen"/>
          <w:b/>
          <w:sz w:val="22"/>
          <w:szCs w:val="22"/>
        </w:rPr>
        <w:t>-</w:t>
      </w:r>
      <w:r w:rsidRPr="00B04D0C">
        <w:rPr>
          <w:rFonts w:ascii="Sylfaen" w:hAnsi="Sylfaen"/>
          <w:b/>
          <w:sz w:val="22"/>
          <w:szCs w:val="22"/>
          <w:lang w:val="ru-RU"/>
        </w:rPr>
        <w:t>ի</w:t>
      </w:r>
      <w:r w:rsidRPr="00B04D0C">
        <w:rPr>
          <w:rFonts w:ascii="Sylfaen" w:eastAsia="MS Mincho" w:hAnsi="Sylfaen"/>
          <w:b/>
          <w:sz w:val="22"/>
          <w:szCs w:val="22"/>
        </w:rPr>
        <w:t xml:space="preserve"> </w:t>
      </w:r>
      <w:r w:rsidRPr="00B04D0C">
        <w:rPr>
          <w:rFonts w:ascii="Sylfaen" w:hAnsi="Sylfaen"/>
          <w:b/>
          <w:sz w:val="22"/>
          <w:szCs w:val="22"/>
          <w:lang w:val="hy-AM"/>
        </w:rPr>
        <w:t>վայրի կենդանիների ապրելավայրի 201</w:t>
      </w:r>
      <w:r w:rsidRPr="00B04D0C">
        <w:rPr>
          <w:rFonts w:ascii="Sylfaen" w:hAnsi="Sylfaen"/>
          <w:b/>
          <w:sz w:val="22"/>
          <w:szCs w:val="22"/>
        </w:rPr>
        <w:t>8</w:t>
      </w:r>
      <w:r w:rsidRPr="00B04D0C">
        <w:rPr>
          <w:rFonts w:ascii="Sylfaen" w:hAnsi="Sylfaen"/>
          <w:b/>
          <w:sz w:val="22"/>
          <w:szCs w:val="22"/>
          <w:lang w:val="hy-AM"/>
        </w:rPr>
        <w:t>-202</w:t>
      </w:r>
      <w:r w:rsidRPr="00B04D0C">
        <w:rPr>
          <w:rFonts w:ascii="Sylfaen" w:hAnsi="Sylfaen"/>
          <w:b/>
          <w:sz w:val="22"/>
          <w:szCs w:val="22"/>
        </w:rPr>
        <w:t>4</w:t>
      </w:r>
      <w:r w:rsidRPr="00B04D0C">
        <w:rPr>
          <w:rFonts w:ascii="Sylfaen" w:hAnsi="Sylfaen"/>
          <w:b/>
          <w:sz w:val="22"/>
          <w:szCs w:val="22"/>
          <w:lang w:val="hy-AM"/>
        </w:rPr>
        <w:t xml:space="preserve">թթ. </w:t>
      </w:r>
      <w:proofErr w:type="spellStart"/>
      <w:proofErr w:type="gramStart"/>
      <w:r w:rsidRPr="00B04D0C">
        <w:rPr>
          <w:rFonts w:ascii="Sylfaen" w:hAnsi="Sylfaen"/>
          <w:b/>
          <w:sz w:val="22"/>
          <w:szCs w:val="22"/>
          <w:lang w:val="en-US"/>
        </w:rPr>
        <w:t>պահպանության</w:t>
      </w:r>
      <w:proofErr w:type="spellEnd"/>
      <w:proofErr w:type="gramEnd"/>
      <w:r w:rsidRPr="00B04D0C">
        <w:rPr>
          <w:rFonts w:ascii="Sylfaen" w:hAnsi="Sylfaen"/>
          <w:b/>
          <w:sz w:val="22"/>
          <w:szCs w:val="22"/>
          <w:lang w:val="hy-AM"/>
        </w:rPr>
        <w:t xml:space="preserve"> </w:t>
      </w:r>
      <w:proofErr w:type="spellStart"/>
      <w:r w:rsidRPr="00B04D0C">
        <w:rPr>
          <w:rFonts w:ascii="Sylfaen" w:hAnsi="Sylfaen"/>
          <w:b/>
          <w:sz w:val="22"/>
          <w:szCs w:val="22"/>
          <w:lang w:val="en-US"/>
        </w:rPr>
        <w:t>քարտեզ</w:t>
      </w:r>
      <w:proofErr w:type="spellEnd"/>
    </w:p>
    <w:p w:rsidR="00C73C89" w:rsidRPr="00B04D0C" w:rsidRDefault="00C73C89" w:rsidP="00C73C89"/>
    <w:p w:rsidR="00C73C89" w:rsidRPr="00B04D0C" w:rsidRDefault="00C73C89" w:rsidP="00C73C89"/>
    <w:p w:rsidR="00C73C89" w:rsidRPr="00C73C89" w:rsidRDefault="00C73C89" w:rsidP="00C73C89">
      <w:pPr>
        <w:pStyle w:val="Heading1"/>
        <w:rPr>
          <w:rFonts w:ascii="Sylfaen" w:hAnsi="Sylfaen"/>
          <w:b w:val="0"/>
          <w:bCs w:val="0"/>
          <w:spacing w:val="-2"/>
          <w:sz w:val="22"/>
          <w:szCs w:val="22"/>
          <w:u w:val="thick"/>
          <w:lang w:val="en-US"/>
        </w:rPr>
        <w:sectPr w:rsidR="00C73C89" w:rsidRPr="00C73C89" w:rsidSect="00B04D0C">
          <w:pgSz w:w="11910" w:h="16840"/>
          <w:pgMar w:top="641" w:right="1418" w:bottom="561" w:left="1338" w:header="0" w:footer="363" w:gutter="0"/>
          <w:cols w:space="720"/>
          <w:noEndnote/>
          <w:docGrid w:linePitch="326"/>
        </w:sectPr>
      </w:pPr>
      <w:r>
        <w:rPr>
          <w:rFonts w:ascii="Sylfaen" w:hAnsi="Sylfaen"/>
          <w:b w:val="0"/>
          <w:bCs w:val="0"/>
          <w:noProof/>
          <w:spacing w:val="-2"/>
          <w:sz w:val="22"/>
          <w:szCs w:val="22"/>
          <w:u w:val="thick"/>
          <w:lang w:val="en-US" w:eastAsia="en-US"/>
        </w:rPr>
        <w:drawing>
          <wp:inline distT="0" distB="0" distL="0" distR="0" wp14:anchorId="31377B07" wp14:editId="3877996E">
            <wp:extent cx="5900468" cy="5822831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88" cy="581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EF242B" w:rsidRDefault="00EF242B"/>
    <w:sectPr w:rsidR="00EF24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8D" w:rsidRDefault="00C73C89" w:rsidP="00057A18">
    <w:pPr>
      <w:pStyle w:val="Footer"/>
      <w:framePr w:wrap="around" w:vAnchor="text" w:hAnchor="page" w:x="1319" w:y="-1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3A8D" w:rsidRDefault="00C73C89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05B0C0" wp14:editId="5C5A83AD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A8D" w:rsidRDefault="00C73C89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593A8D" w:rsidRDefault="00C73C89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3648C"/>
    <w:multiLevelType w:val="hybridMultilevel"/>
    <w:tmpl w:val="F03E0A6E"/>
    <w:lvl w:ilvl="0" w:tplc="17A2FDF2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2BF2"/>
    <w:multiLevelType w:val="hybridMultilevel"/>
    <w:tmpl w:val="E572FE8A"/>
    <w:lvl w:ilvl="0" w:tplc="5F8ABC0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89"/>
    <w:rsid w:val="00C73C89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3C89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3C89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C73C89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73C89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73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8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73C89"/>
  </w:style>
  <w:style w:type="paragraph" w:styleId="ListParagraph">
    <w:name w:val="List Paragraph"/>
    <w:basedOn w:val="Normal"/>
    <w:uiPriority w:val="34"/>
    <w:qFormat/>
    <w:rsid w:val="00C73C89"/>
    <w:pPr>
      <w:ind w:left="720"/>
    </w:pPr>
  </w:style>
  <w:style w:type="paragraph" w:styleId="NoSpacing">
    <w:name w:val="No Spacing"/>
    <w:uiPriority w:val="1"/>
    <w:qFormat/>
    <w:rsid w:val="00C7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73C89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89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3C89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3C89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C73C89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73C89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73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8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73C89"/>
  </w:style>
  <w:style w:type="paragraph" w:styleId="ListParagraph">
    <w:name w:val="List Paragraph"/>
    <w:basedOn w:val="Normal"/>
    <w:uiPriority w:val="34"/>
    <w:qFormat/>
    <w:rsid w:val="00C73C89"/>
    <w:pPr>
      <w:ind w:left="720"/>
    </w:pPr>
  </w:style>
  <w:style w:type="paragraph" w:styleId="NoSpacing">
    <w:name w:val="No Spacing"/>
    <w:uiPriority w:val="1"/>
    <w:qFormat/>
    <w:rsid w:val="00C7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73C89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8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1</cp:revision>
  <dcterms:created xsi:type="dcterms:W3CDTF">2019-11-22T15:24:00Z</dcterms:created>
  <dcterms:modified xsi:type="dcterms:W3CDTF">2019-11-22T15:26:00Z</dcterms:modified>
</cp:coreProperties>
</file>