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FBE4" w14:textId="77777777" w:rsidR="0069271F" w:rsidRPr="00F942D3" w:rsidRDefault="0069271F" w:rsidP="00E23049">
      <w:pPr>
        <w:spacing w:line="288" w:lineRule="auto"/>
        <w:jc w:val="center"/>
        <w:rPr>
          <w:rFonts w:asciiTheme="majorHAnsi" w:hAnsiTheme="majorHAnsi" w:cstheme="majorHAnsi"/>
          <w:b/>
          <w:sz w:val="32"/>
          <w:szCs w:val="32"/>
          <w:u w:val="thick"/>
          <w:lang w:val="en-US"/>
        </w:rPr>
      </w:pPr>
      <w:r w:rsidRPr="00F942D3">
        <w:rPr>
          <w:rFonts w:asciiTheme="majorHAnsi" w:hAnsiTheme="majorHAnsi" w:cstheme="majorHAnsi"/>
          <w:b/>
          <w:sz w:val="32"/>
          <w:szCs w:val="32"/>
          <w:u w:val="thick"/>
          <w:lang w:val="en-US"/>
        </w:rPr>
        <w:t>Terms of reference</w:t>
      </w:r>
    </w:p>
    <w:p w14:paraId="18E93744" w14:textId="0E5C304A" w:rsidR="0069271F" w:rsidRDefault="0069271F" w:rsidP="00E23049">
      <w:pPr>
        <w:spacing w:before="240" w:line="288" w:lineRule="auto"/>
        <w:jc w:val="center"/>
        <w:rPr>
          <w:rFonts w:asciiTheme="majorHAnsi" w:hAnsiTheme="majorHAnsi" w:cstheme="majorHAnsi"/>
          <w:b/>
          <w:sz w:val="28"/>
          <w:szCs w:val="28"/>
          <w:lang w:val="en-US"/>
        </w:rPr>
      </w:pPr>
      <w:r w:rsidRPr="00F942D3">
        <w:rPr>
          <w:rFonts w:asciiTheme="majorHAnsi" w:hAnsiTheme="majorHAnsi" w:cstheme="majorHAnsi"/>
          <w:b/>
          <w:sz w:val="28"/>
          <w:szCs w:val="28"/>
          <w:lang w:val="en-US"/>
        </w:rPr>
        <w:t xml:space="preserve">Analysis of </w:t>
      </w:r>
      <w:r w:rsidR="00F942D3" w:rsidRPr="00F942D3">
        <w:rPr>
          <w:rFonts w:asciiTheme="majorHAnsi" w:hAnsiTheme="majorHAnsi" w:cstheme="majorHAnsi"/>
          <w:b/>
          <w:sz w:val="28"/>
          <w:szCs w:val="28"/>
          <w:lang w:val="en-US"/>
        </w:rPr>
        <w:t>th</w:t>
      </w:r>
      <w:r w:rsidR="00F942D3">
        <w:rPr>
          <w:rFonts w:asciiTheme="majorHAnsi" w:hAnsiTheme="majorHAnsi" w:cstheme="majorHAnsi"/>
          <w:b/>
          <w:sz w:val="28"/>
          <w:szCs w:val="28"/>
          <w:lang w:val="en-US"/>
        </w:rPr>
        <w:t xml:space="preserve">e </w:t>
      </w:r>
      <w:r w:rsidRPr="00F942D3">
        <w:rPr>
          <w:rFonts w:asciiTheme="majorHAnsi" w:hAnsiTheme="majorHAnsi" w:cstheme="majorHAnsi"/>
          <w:b/>
          <w:sz w:val="28"/>
          <w:szCs w:val="28"/>
          <w:lang w:val="en-US"/>
        </w:rPr>
        <w:t>consistency between the legal standards</w:t>
      </w:r>
      <w:r w:rsidR="00F942D3">
        <w:rPr>
          <w:rFonts w:asciiTheme="majorHAnsi" w:hAnsiTheme="majorHAnsi" w:cstheme="majorHAnsi"/>
          <w:b/>
          <w:sz w:val="28"/>
          <w:szCs w:val="28"/>
          <w:lang w:val="en-US"/>
        </w:rPr>
        <w:t xml:space="preserve"> of</w:t>
      </w:r>
      <w:r w:rsidRPr="00F942D3">
        <w:rPr>
          <w:rFonts w:asciiTheme="majorHAnsi" w:hAnsiTheme="majorHAnsi" w:cstheme="majorHAnsi"/>
          <w:b/>
          <w:sz w:val="28"/>
          <w:szCs w:val="28"/>
          <w:lang w:val="en-US"/>
        </w:rPr>
        <w:t xml:space="preserve"> Gabon, China and the European Union on sustainable forest management </w:t>
      </w:r>
    </w:p>
    <w:p w14:paraId="5DE0BD38" w14:textId="77777777" w:rsidR="00312461" w:rsidRPr="00F942D3" w:rsidRDefault="00312461" w:rsidP="00E23049">
      <w:pPr>
        <w:spacing w:before="240" w:line="288" w:lineRule="auto"/>
        <w:jc w:val="center"/>
        <w:rPr>
          <w:rFonts w:asciiTheme="majorHAnsi" w:hAnsiTheme="majorHAnsi" w:cstheme="majorHAnsi"/>
          <w:b/>
          <w:sz w:val="28"/>
          <w:szCs w:val="28"/>
          <w:lang w:val="en-US"/>
        </w:rPr>
      </w:pPr>
    </w:p>
    <w:p w14:paraId="45F9F296" w14:textId="77777777" w:rsidR="00C75583" w:rsidRPr="00F942D3" w:rsidRDefault="000F6E5A" w:rsidP="00E23049">
      <w:pPr>
        <w:spacing w:before="240" w:after="0" w:line="288" w:lineRule="auto"/>
        <w:rPr>
          <w:rFonts w:asciiTheme="majorHAnsi" w:hAnsiTheme="majorHAnsi" w:cstheme="majorHAnsi"/>
          <w:b/>
          <w:sz w:val="24"/>
          <w:szCs w:val="24"/>
          <w:lang w:val="en-US"/>
        </w:rPr>
      </w:pPr>
      <w:r w:rsidRPr="00F942D3">
        <w:rPr>
          <w:rFonts w:asciiTheme="majorHAnsi" w:hAnsiTheme="majorHAnsi" w:cstheme="majorHAnsi"/>
          <w:b/>
          <w:sz w:val="24"/>
          <w:szCs w:val="24"/>
          <w:lang w:val="en-US"/>
        </w:rPr>
        <w:t>Background and Rationale</w:t>
      </w:r>
    </w:p>
    <w:p w14:paraId="3B58DFAC" w14:textId="66FC57CB" w:rsidR="004D0C0C" w:rsidRDefault="00C30BAE" w:rsidP="00E23049">
      <w:pPr>
        <w:spacing w:after="0" w:line="288" w:lineRule="auto"/>
        <w:contextualSpacing/>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With a forest area of </w:t>
      </w:r>
      <w:r w:rsidR="0069271F" w:rsidRPr="00F942D3">
        <w:rPr>
          <w:rFonts w:asciiTheme="majorHAnsi" w:hAnsiTheme="majorHAnsi" w:cstheme="majorHAnsi"/>
          <w:sz w:val="24"/>
          <w:szCs w:val="24"/>
          <w:lang w:val="en-US"/>
        </w:rPr>
        <w:t xml:space="preserve">more than 23 million hectares, or approximately 88.9% of its territory (AGEOS, 2018), Gabon </w:t>
      </w:r>
      <w:r w:rsidR="00F942D3">
        <w:rPr>
          <w:rFonts w:asciiTheme="majorHAnsi" w:hAnsiTheme="majorHAnsi" w:cstheme="majorHAnsi"/>
          <w:sz w:val="24"/>
          <w:szCs w:val="24"/>
          <w:lang w:val="en-US"/>
        </w:rPr>
        <w:t>has the second highest forest cover amongst</w:t>
      </w:r>
      <w:r w:rsidR="0069271F" w:rsidRPr="00F942D3">
        <w:rPr>
          <w:rFonts w:asciiTheme="majorHAnsi" w:hAnsiTheme="majorHAnsi" w:cstheme="majorHAnsi"/>
          <w:sz w:val="24"/>
          <w:szCs w:val="24"/>
          <w:lang w:val="en-US"/>
        </w:rPr>
        <w:t xml:space="preserve"> Central African countries</w:t>
      </w:r>
      <w:r w:rsidR="00F942D3">
        <w:rPr>
          <w:rFonts w:asciiTheme="majorHAnsi" w:hAnsiTheme="majorHAnsi" w:cstheme="majorHAnsi"/>
          <w:sz w:val="24"/>
          <w:szCs w:val="24"/>
          <w:lang w:val="en-US"/>
        </w:rPr>
        <w:t xml:space="preserve"> </w:t>
      </w:r>
      <w:r w:rsidR="0069271F" w:rsidRPr="00F942D3">
        <w:rPr>
          <w:rFonts w:asciiTheme="majorHAnsi" w:hAnsiTheme="majorHAnsi" w:cstheme="majorHAnsi"/>
          <w:sz w:val="24"/>
          <w:szCs w:val="24"/>
          <w:lang w:val="en-US"/>
        </w:rPr>
        <w:t>(FOCA, 2008) and its forests provide habitat for many wildlife species such as</w:t>
      </w:r>
      <w:r w:rsidR="00F942D3">
        <w:rPr>
          <w:rFonts w:asciiTheme="majorHAnsi" w:hAnsiTheme="majorHAnsi" w:cstheme="majorHAnsi"/>
          <w:sz w:val="24"/>
          <w:szCs w:val="24"/>
          <w:lang w:val="en-US"/>
        </w:rPr>
        <w:t xml:space="preserve"> forest </w:t>
      </w:r>
      <w:r w:rsidR="0069271F" w:rsidRPr="00F942D3">
        <w:rPr>
          <w:rFonts w:asciiTheme="majorHAnsi" w:hAnsiTheme="majorHAnsi" w:cstheme="majorHAnsi"/>
          <w:sz w:val="24"/>
          <w:szCs w:val="24"/>
          <w:lang w:val="en-US"/>
        </w:rPr>
        <w:t>elephant</w:t>
      </w:r>
      <w:r w:rsidR="00F942D3">
        <w:rPr>
          <w:rFonts w:asciiTheme="majorHAnsi" w:hAnsiTheme="majorHAnsi" w:cstheme="majorHAnsi"/>
          <w:sz w:val="24"/>
          <w:szCs w:val="24"/>
          <w:lang w:val="en-US"/>
        </w:rPr>
        <w:t>s</w:t>
      </w:r>
      <w:r w:rsidR="0069271F" w:rsidRPr="00F942D3">
        <w:rPr>
          <w:rFonts w:asciiTheme="majorHAnsi" w:hAnsiTheme="majorHAnsi" w:cstheme="majorHAnsi"/>
          <w:sz w:val="24"/>
          <w:szCs w:val="24"/>
          <w:lang w:val="en-US"/>
        </w:rPr>
        <w:t xml:space="preserve"> (</w:t>
      </w:r>
      <w:proofErr w:type="spellStart"/>
      <w:r w:rsidR="0069271F" w:rsidRPr="00C30BAE">
        <w:rPr>
          <w:rFonts w:asciiTheme="majorHAnsi" w:hAnsiTheme="majorHAnsi" w:cstheme="majorHAnsi"/>
          <w:i/>
          <w:sz w:val="24"/>
          <w:szCs w:val="24"/>
          <w:lang w:val="en-US"/>
        </w:rPr>
        <w:t>Loxodonta</w:t>
      </w:r>
      <w:proofErr w:type="spellEnd"/>
      <w:r w:rsidR="0069271F" w:rsidRPr="00C30BAE">
        <w:rPr>
          <w:rFonts w:asciiTheme="majorHAnsi" w:hAnsiTheme="majorHAnsi" w:cstheme="majorHAnsi"/>
          <w:i/>
          <w:sz w:val="24"/>
          <w:szCs w:val="24"/>
          <w:lang w:val="en-US"/>
        </w:rPr>
        <w:t xml:space="preserve"> </w:t>
      </w:r>
      <w:proofErr w:type="spellStart"/>
      <w:r w:rsidR="0069271F" w:rsidRPr="00C30BAE">
        <w:rPr>
          <w:rFonts w:asciiTheme="majorHAnsi" w:hAnsiTheme="majorHAnsi" w:cstheme="majorHAnsi"/>
          <w:i/>
          <w:sz w:val="24"/>
          <w:szCs w:val="24"/>
          <w:lang w:val="en-US"/>
        </w:rPr>
        <w:t>africana</w:t>
      </w:r>
      <w:proofErr w:type="spellEnd"/>
      <w:r w:rsidR="0069271F" w:rsidRPr="00F942D3">
        <w:rPr>
          <w:rFonts w:asciiTheme="majorHAnsi" w:hAnsiTheme="majorHAnsi" w:cstheme="majorHAnsi"/>
          <w:sz w:val="24"/>
          <w:szCs w:val="24"/>
          <w:lang w:val="en-US"/>
        </w:rPr>
        <w:t xml:space="preserve">), </w:t>
      </w:r>
      <w:r w:rsidR="00F942D3">
        <w:rPr>
          <w:rFonts w:asciiTheme="majorHAnsi" w:hAnsiTheme="majorHAnsi" w:cstheme="majorHAnsi"/>
          <w:sz w:val="24"/>
          <w:szCs w:val="24"/>
          <w:lang w:val="en-US"/>
        </w:rPr>
        <w:t xml:space="preserve">western </w:t>
      </w:r>
      <w:r>
        <w:rPr>
          <w:rFonts w:asciiTheme="majorHAnsi" w:hAnsiTheme="majorHAnsi" w:cstheme="majorHAnsi"/>
          <w:sz w:val="24"/>
          <w:szCs w:val="24"/>
          <w:lang w:val="en-US"/>
        </w:rPr>
        <w:t>gorillas (</w:t>
      </w:r>
      <w:r w:rsidRPr="00C30BAE">
        <w:rPr>
          <w:rFonts w:asciiTheme="majorHAnsi" w:hAnsiTheme="majorHAnsi" w:cstheme="majorHAnsi"/>
          <w:i/>
          <w:sz w:val="24"/>
          <w:szCs w:val="24"/>
          <w:lang w:val="en-US"/>
        </w:rPr>
        <w:t>G</w:t>
      </w:r>
      <w:r w:rsidR="0069271F" w:rsidRPr="00C30BAE">
        <w:rPr>
          <w:rFonts w:asciiTheme="majorHAnsi" w:hAnsiTheme="majorHAnsi" w:cstheme="majorHAnsi"/>
          <w:i/>
          <w:sz w:val="24"/>
          <w:szCs w:val="24"/>
          <w:lang w:val="en-US"/>
        </w:rPr>
        <w:t>orilla gorilla</w:t>
      </w:r>
      <w:r w:rsidR="0069271F" w:rsidRPr="00F942D3">
        <w:rPr>
          <w:rFonts w:asciiTheme="majorHAnsi" w:hAnsiTheme="majorHAnsi" w:cstheme="majorHAnsi"/>
          <w:sz w:val="24"/>
          <w:szCs w:val="24"/>
          <w:lang w:val="en-US"/>
        </w:rPr>
        <w:t xml:space="preserve">), etc. They also play a major role in the life of local communities because of the many </w:t>
      </w:r>
      <w:r w:rsidR="00F942D3">
        <w:rPr>
          <w:rFonts w:asciiTheme="majorHAnsi" w:hAnsiTheme="majorHAnsi" w:cstheme="majorHAnsi"/>
          <w:sz w:val="24"/>
          <w:szCs w:val="24"/>
          <w:lang w:val="en-US"/>
        </w:rPr>
        <w:t>services</w:t>
      </w:r>
      <w:r w:rsidR="0069271F" w:rsidRPr="00F942D3">
        <w:rPr>
          <w:rFonts w:asciiTheme="majorHAnsi" w:hAnsiTheme="majorHAnsi" w:cstheme="majorHAnsi"/>
          <w:sz w:val="24"/>
          <w:szCs w:val="24"/>
          <w:lang w:val="en-US"/>
        </w:rPr>
        <w:t xml:space="preserve"> (food, cultural, medicinal)</w:t>
      </w:r>
      <w:r w:rsidR="00F942D3">
        <w:rPr>
          <w:rFonts w:asciiTheme="majorHAnsi" w:hAnsiTheme="majorHAnsi" w:cstheme="majorHAnsi"/>
          <w:sz w:val="24"/>
          <w:szCs w:val="24"/>
          <w:lang w:val="en-US"/>
        </w:rPr>
        <w:t xml:space="preserve"> the ecosystem</w:t>
      </w:r>
      <w:r w:rsidR="0069271F" w:rsidRPr="00F942D3">
        <w:rPr>
          <w:rFonts w:asciiTheme="majorHAnsi" w:hAnsiTheme="majorHAnsi" w:cstheme="majorHAnsi"/>
          <w:sz w:val="24"/>
          <w:szCs w:val="24"/>
          <w:lang w:val="en-US"/>
        </w:rPr>
        <w:t xml:space="preserve"> provid</w:t>
      </w:r>
      <w:r w:rsidR="00F942D3">
        <w:rPr>
          <w:rFonts w:asciiTheme="majorHAnsi" w:hAnsiTheme="majorHAnsi" w:cstheme="majorHAnsi"/>
          <w:sz w:val="24"/>
          <w:szCs w:val="24"/>
          <w:lang w:val="en-US"/>
        </w:rPr>
        <w:t>es</w:t>
      </w:r>
      <w:r w:rsidR="0069271F" w:rsidRPr="00F942D3">
        <w:rPr>
          <w:rFonts w:asciiTheme="majorHAnsi" w:hAnsiTheme="majorHAnsi" w:cstheme="majorHAnsi"/>
          <w:sz w:val="24"/>
          <w:szCs w:val="24"/>
          <w:lang w:val="en-US"/>
        </w:rPr>
        <w:t xml:space="preserve"> to them.</w:t>
      </w:r>
      <w:r w:rsidR="00F942D3">
        <w:rPr>
          <w:rFonts w:asciiTheme="majorHAnsi" w:hAnsiTheme="majorHAnsi" w:cstheme="majorHAnsi"/>
          <w:sz w:val="24"/>
          <w:szCs w:val="24"/>
          <w:lang w:val="en-US"/>
        </w:rPr>
        <w:t xml:space="preserve"> </w:t>
      </w:r>
      <w:r w:rsidR="007578CD" w:rsidRPr="00F942D3">
        <w:rPr>
          <w:rFonts w:asciiTheme="majorHAnsi" w:hAnsiTheme="majorHAnsi" w:cstheme="majorHAnsi"/>
          <w:sz w:val="24"/>
          <w:szCs w:val="24"/>
          <w:lang w:val="en-US"/>
        </w:rPr>
        <w:t xml:space="preserve">Moreover, thanks to this </w:t>
      </w:r>
      <w:r w:rsidR="00F942D3">
        <w:rPr>
          <w:rFonts w:asciiTheme="majorHAnsi" w:hAnsiTheme="majorHAnsi" w:cstheme="majorHAnsi"/>
          <w:sz w:val="24"/>
          <w:szCs w:val="24"/>
          <w:lang w:val="en-US"/>
        </w:rPr>
        <w:t>high</w:t>
      </w:r>
      <w:r w:rsidR="007578CD" w:rsidRPr="00F942D3">
        <w:rPr>
          <w:rFonts w:asciiTheme="majorHAnsi" w:hAnsiTheme="majorHAnsi" w:cstheme="majorHAnsi"/>
          <w:sz w:val="24"/>
          <w:szCs w:val="24"/>
          <w:lang w:val="en-US"/>
        </w:rPr>
        <w:t xml:space="preserve"> forest cover, logging has risen to second place in the national econom</w:t>
      </w:r>
      <w:r w:rsidR="008148EE">
        <w:rPr>
          <w:rFonts w:asciiTheme="majorHAnsi" w:hAnsiTheme="majorHAnsi" w:cstheme="majorHAnsi"/>
          <w:sz w:val="24"/>
          <w:szCs w:val="24"/>
          <w:lang w:val="en-US"/>
        </w:rPr>
        <w:t xml:space="preserve">y </w:t>
      </w:r>
      <w:r w:rsidR="007578CD" w:rsidRPr="00F942D3">
        <w:rPr>
          <w:rFonts w:asciiTheme="majorHAnsi" w:hAnsiTheme="majorHAnsi" w:cstheme="majorHAnsi"/>
          <w:sz w:val="24"/>
          <w:szCs w:val="24"/>
          <w:lang w:val="en-US"/>
        </w:rPr>
        <w:t xml:space="preserve">with a contribution to </w:t>
      </w:r>
      <w:r w:rsidR="008148EE">
        <w:rPr>
          <w:rFonts w:asciiTheme="majorHAnsi" w:hAnsiTheme="majorHAnsi" w:cstheme="majorHAnsi"/>
          <w:sz w:val="24"/>
          <w:szCs w:val="24"/>
          <w:lang w:val="en-US"/>
        </w:rPr>
        <w:t xml:space="preserve">the </w:t>
      </w:r>
      <w:r w:rsidR="007578CD" w:rsidRPr="00F942D3">
        <w:rPr>
          <w:rFonts w:asciiTheme="majorHAnsi" w:hAnsiTheme="majorHAnsi" w:cstheme="majorHAnsi"/>
          <w:sz w:val="24"/>
          <w:szCs w:val="24"/>
          <w:lang w:val="en-US"/>
        </w:rPr>
        <w:t>GDP estimated at 3% (MINEF, 2016).</w:t>
      </w:r>
      <w:r w:rsidR="00F942D3">
        <w:rPr>
          <w:rFonts w:asciiTheme="majorHAnsi" w:hAnsiTheme="majorHAnsi" w:cstheme="majorHAnsi"/>
          <w:sz w:val="24"/>
          <w:szCs w:val="24"/>
          <w:lang w:val="en-US"/>
        </w:rPr>
        <w:t xml:space="preserve"> </w:t>
      </w:r>
      <w:r w:rsidR="007578CD" w:rsidRPr="00F942D3">
        <w:rPr>
          <w:rFonts w:asciiTheme="majorHAnsi" w:hAnsiTheme="majorHAnsi" w:cstheme="majorHAnsi"/>
          <w:sz w:val="24"/>
          <w:szCs w:val="24"/>
          <w:lang w:val="en-US"/>
        </w:rPr>
        <w:t xml:space="preserve">Thus, in </w:t>
      </w:r>
      <w:r>
        <w:rPr>
          <w:rFonts w:asciiTheme="majorHAnsi" w:hAnsiTheme="majorHAnsi" w:cstheme="majorHAnsi"/>
          <w:sz w:val="24"/>
          <w:szCs w:val="24"/>
          <w:lang w:val="en-US"/>
        </w:rPr>
        <w:t>view</w:t>
      </w:r>
      <w:r w:rsidR="007578CD" w:rsidRPr="00F942D3">
        <w:rPr>
          <w:rFonts w:asciiTheme="majorHAnsi" w:hAnsiTheme="majorHAnsi" w:cstheme="majorHAnsi"/>
          <w:sz w:val="24"/>
          <w:szCs w:val="24"/>
          <w:lang w:val="en-US"/>
        </w:rPr>
        <w:t xml:space="preserve"> of the </w:t>
      </w:r>
      <w:r w:rsidR="008148EE">
        <w:rPr>
          <w:rFonts w:asciiTheme="majorHAnsi" w:hAnsiTheme="majorHAnsi" w:cstheme="majorHAnsi"/>
          <w:sz w:val="24"/>
          <w:szCs w:val="24"/>
          <w:lang w:val="en-US"/>
        </w:rPr>
        <w:t>commercial</w:t>
      </w:r>
      <w:r w:rsidR="007578CD" w:rsidRPr="00F942D3">
        <w:rPr>
          <w:rFonts w:asciiTheme="majorHAnsi" w:hAnsiTheme="majorHAnsi" w:cstheme="majorHAnsi"/>
          <w:sz w:val="24"/>
          <w:szCs w:val="24"/>
          <w:lang w:val="en-US"/>
        </w:rPr>
        <w:t xml:space="preserve"> potential of wood, </w:t>
      </w:r>
      <w:r w:rsidR="008148EE">
        <w:rPr>
          <w:rFonts w:asciiTheme="majorHAnsi" w:hAnsiTheme="majorHAnsi" w:cstheme="majorHAnsi"/>
          <w:sz w:val="24"/>
          <w:szCs w:val="24"/>
          <w:lang w:val="en-US"/>
        </w:rPr>
        <w:t xml:space="preserve">the </w:t>
      </w:r>
      <w:r w:rsidR="007578CD" w:rsidRPr="00F942D3">
        <w:rPr>
          <w:rFonts w:asciiTheme="majorHAnsi" w:hAnsiTheme="majorHAnsi" w:cstheme="majorHAnsi"/>
          <w:sz w:val="24"/>
          <w:szCs w:val="24"/>
          <w:lang w:val="en-US"/>
        </w:rPr>
        <w:t xml:space="preserve">wood forest sector </w:t>
      </w:r>
      <w:r w:rsidR="008148EE">
        <w:rPr>
          <w:rFonts w:asciiTheme="majorHAnsi" w:hAnsiTheme="majorHAnsi" w:cstheme="majorHAnsi"/>
          <w:sz w:val="24"/>
          <w:szCs w:val="24"/>
          <w:lang w:val="en-US"/>
        </w:rPr>
        <w:t>has been</w:t>
      </w:r>
      <w:r w:rsidR="007578CD" w:rsidRPr="00F942D3">
        <w:rPr>
          <w:rFonts w:asciiTheme="majorHAnsi" w:hAnsiTheme="majorHAnsi" w:cstheme="majorHAnsi"/>
          <w:sz w:val="24"/>
          <w:szCs w:val="24"/>
          <w:lang w:val="en-US"/>
        </w:rPr>
        <w:t xml:space="preserve"> identified as a</w:t>
      </w:r>
      <w:r w:rsidR="008148EE">
        <w:rPr>
          <w:rFonts w:asciiTheme="majorHAnsi" w:hAnsiTheme="majorHAnsi" w:cstheme="majorHAnsi"/>
          <w:sz w:val="24"/>
          <w:szCs w:val="24"/>
          <w:lang w:val="en-US"/>
        </w:rPr>
        <w:t xml:space="preserve"> driver for</w:t>
      </w:r>
      <w:r w:rsidR="007578CD" w:rsidRPr="00F942D3">
        <w:rPr>
          <w:rFonts w:asciiTheme="majorHAnsi" w:hAnsiTheme="majorHAnsi" w:cstheme="majorHAnsi"/>
          <w:sz w:val="24"/>
          <w:szCs w:val="24"/>
          <w:lang w:val="en-US"/>
        </w:rPr>
        <w:t xml:space="preserve"> economic growth </w:t>
      </w:r>
      <w:r w:rsidR="008148EE">
        <w:rPr>
          <w:rFonts w:asciiTheme="majorHAnsi" w:hAnsiTheme="majorHAnsi" w:cstheme="majorHAnsi"/>
          <w:sz w:val="24"/>
          <w:szCs w:val="24"/>
          <w:lang w:val="en-US"/>
        </w:rPr>
        <w:t>to benefit from</w:t>
      </w:r>
      <w:r w:rsidR="007578CD" w:rsidRPr="00F942D3">
        <w:rPr>
          <w:rFonts w:asciiTheme="majorHAnsi" w:hAnsiTheme="majorHAnsi" w:cstheme="majorHAnsi"/>
          <w:sz w:val="24"/>
          <w:szCs w:val="24"/>
          <w:lang w:val="en-US"/>
        </w:rPr>
        <w:t xml:space="preserve"> strategic investments through the </w:t>
      </w:r>
      <w:r w:rsidR="002011DE">
        <w:rPr>
          <w:rFonts w:asciiTheme="majorHAnsi" w:hAnsiTheme="majorHAnsi" w:cstheme="majorHAnsi"/>
          <w:sz w:val="24"/>
          <w:szCs w:val="24"/>
          <w:lang w:val="en-US"/>
        </w:rPr>
        <w:t xml:space="preserve">“Plan </w:t>
      </w:r>
      <w:proofErr w:type="spellStart"/>
      <w:r w:rsidR="002011DE">
        <w:rPr>
          <w:rFonts w:asciiTheme="majorHAnsi" w:hAnsiTheme="majorHAnsi" w:cstheme="majorHAnsi"/>
          <w:sz w:val="24"/>
          <w:szCs w:val="24"/>
          <w:lang w:val="en-US"/>
        </w:rPr>
        <w:t>Strat</w:t>
      </w:r>
      <w:r w:rsidR="002011DE" w:rsidRPr="002011DE">
        <w:rPr>
          <w:rFonts w:asciiTheme="majorHAnsi" w:hAnsiTheme="majorHAnsi" w:cstheme="majorHAnsi"/>
          <w:sz w:val="24"/>
          <w:szCs w:val="24"/>
          <w:lang w:val="en-US"/>
        </w:rPr>
        <w:t>é</w:t>
      </w:r>
      <w:r>
        <w:rPr>
          <w:rFonts w:asciiTheme="majorHAnsi" w:hAnsiTheme="majorHAnsi" w:cstheme="majorHAnsi"/>
          <w:sz w:val="24"/>
          <w:szCs w:val="24"/>
          <w:lang w:val="en-US"/>
        </w:rPr>
        <w:t>gique</w:t>
      </w:r>
      <w:proofErr w:type="spellEnd"/>
      <w:r w:rsidR="002011DE">
        <w:rPr>
          <w:rFonts w:asciiTheme="majorHAnsi" w:hAnsiTheme="majorHAnsi" w:cstheme="majorHAnsi"/>
          <w:sz w:val="24"/>
          <w:szCs w:val="24"/>
          <w:lang w:val="en-US"/>
        </w:rPr>
        <w:t xml:space="preserve"> Gabon Emergent</w:t>
      </w:r>
      <w:r w:rsidR="007578CD" w:rsidRPr="00F942D3">
        <w:rPr>
          <w:rFonts w:asciiTheme="majorHAnsi" w:hAnsiTheme="majorHAnsi" w:cstheme="majorHAnsi"/>
          <w:sz w:val="24"/>
          <w:szCs w:val="24"/>
          <w:lang w:val="en-US"/>
        </w:rPr>
        <w:t xml:space="preserve"> (2012). </w:t>
      </w:r>
    </w:p>
    <w:p w14:paraId="1F03F356" w14:textId="77777777" w:rsidR="00F942D3" w:rsidRPr="00F942D3" w:rsidRDefault="00F942D3" w:rsidP="00E23049">
      <w:pPr>
        <w:spacing w:after="0" w:line="288" w:lineRule="auto"/>
        <w:contextualSpacing/>
        <w:jc w:val="both"/>
        <w:rPr>
          <w:rFonts w:asciiTheme="majorHAnsi" w:hAnsiTheme="majorHAnsi" w:cstheme="majorHAnsi"/>
          <w:sz w:val="24"/>
          <w:szCs w:val="24"/>
          <w:lang w:val="en-US"/>
        </w:rPr>
      </w:pPr>
    </w:p>
    <w:p w14:paraId="5B89AC04" w14:textId="49486A39" w:rsidR="00DD0199" w:rsidRPr="00F942D3" w:rsidRDefault="005E0295" w:rsidP="00E23049">
      <w:pPr>
        <w:spacing w:before="100" w:beforeAutospacing="1" w:after="100" w:afterAutospacing="1" w:line="288" w:lineRule="auto"/>
        <w:contextualSpacing/>
        <w:jc w:val="both"/>
        <w:rPr>
          <w:rFonts w:asciiTheme="majorHAnsi" w:eastAsia="Times New Roman" w:hAnsiTheme="majorHAnsi" w:cstheme="majorHAnsi"/>
          <w:color w:val="555555"/>
          <w:sz w:val="24"/>
          <w:szCs w:val="24"/>
          <w:lang w:val="en-US" w:eastAsia="fr-FR"/>
        </w:rPr>
      </w:pPr>
      <w:r w:rsidRPr="00F942D3">
        <w:rPr>
          <w:rFonts w:asciiTheme="majorHAnsi" w:hAnsiTheme="majorHAnsi" w:cstheme="majorHAnsi"/>
          <w:sz w:val="24"/>
          <w:szCs w:val="24"/>
          <w:lang w:val="en-US"/>
        </w:rPr>
        <w:t>As one of the leading producers of tropical timber in the world with a production of over 270</w:t>
      </w:r>
      <w:r w:rsidR="002011DE">
        <w:rPr>
          <w:rFonts w:asciiTheme="majorHAnsi" w:hAnsiTheme="majorHAnsi" w:cstheme="majorHAnsi"/>
          <w:sz w:val="24"/>
          <w:szCs w:val="24"/>
          <w:lang w:val="en-US"/>
        </w:rPr>
        <w:t>,</w:t>
      </w:r>
      <w:r w:rsidRPr="00F942D3">
        <w:rPr>
          <w:rFonts w:asciiTheme="majorHAnsi" w:hAnsiTheme="majorHAnsi" w:cstheme="majorHAnsi"/>
          <w:sz w:val="24"/>
          <w:szCs w:val="24"/>
          <w:lang w:val="en-US"/>
        </w:rPr>
        <w:t>000</w:t>
      </w:r>
      <w:r w:rsidR="002011DE">
        <w:rPr>
          <w:rFonts w:asciiTheme="majorHAnsi" w:hAnsiTheme="majorHAnsi" w:cstheme="majorHAnsi"/>
          <w:sz w:val="24"/>
          <w:szCs w:val="24"/>
          <w:lang w:val="en-US"/>
        </w:rPr>
        <w:t xml:space="preserve"> </w:t>
      </w:r>
      <w:r w:rsidRPr="00F942D3">
        <w:rPr>
          <w:rFonts w:asciiTheme="majorHAnsi" w:hAnsiTheme="majorHAnsi" w:cstheme="majorHAnsi"/>
          <w:sz w:val="24"/>
          <w:szCs w:val="24"/>
          <w:lang w:val="en-US"/>
        </w:rPr>
        <w:t>m</w:t>
      </w:r>
      <w:r w:rsidRPr="002011DE">
        <w:rPr>
          <w:rFonts w:asciiTheme="majorHAnsi" w:hAnsiTheme="majorHAnsi" w:cstheme="majorHAnsi"/>
          <w:sz w:val="24"/>
          <w:szCs w:val="24"/>
          <w:vertAlign w:val="superscript"/>
          <w:lang w:val="en-US"/>
        </w:rPr>
        <w:t>3</w:t>
      </w:r>
      <w:r w:rsidRPr="00F942D3">
        <w:rPr>
          <w:rFonts w:asciiTheme="majorHAnsi" w:hAnsiTheme="majorHAnsi" w:cstheme="majorHAnsi"/>
          <w:sz w:val="24"/>
          <w:szCs w:val="24"/>
          <w:lang w:val="en-US"/>
        </w:rPr>
        <w:t xml:space="preserve"> of plywood (MINEF, 2018), Gabon mainly sells </w:t>
      </w:r>
      <w:proofErr w:type="spellStart"/>
      <w:r w:rsidRPr="00F942D3">
        <w:rPr>
          <w:rFonts w:asciiTheme="majorHAnsi" w:hAnsiTheme="majorHAnsi" w:cstheme="majorHAnsi"/>
          <w:sz w:val="24"/>
          <w:szCs w:val="24"/>
          <w:lang w:val="en-US"/>
        </w:rPr>
        <w:t>Okoumé</w:t>
      </w:r>
      <w:proofErr w:type="spellEnd"/>
      <w:r w:rsidRPr="00F942D3">
        <w:rPr>
          <w:rFonts w:asciiTheme="majorHAnsi" w:hAnsiTheme="majorHAnsi" w:cstheme="majorHAnsi"/>
          <w:sz w:val="24"/>
          <w:szCs w:val="24"/>
          <w:lang w:val="en-US"/>
        </w:rPr>
        <w:t xml:space="preserve"> (</w:t>
      </w:r>
      <w:proofErr w:type="spellStart"/>
      <w:r w:rsidRPr="00C30BAE">
        <w:rPr>
          <w:rFonts w:asciiTheme="majorHAnsi" w:hAnsiTheme="majorHAnsi" w:cstheme="majorHAnsi"/>
          <w:b/>
          <w:sz w:val="24"/>
          <w:szCs w:val="24"/>
          <w:lang w:val="en-US"/>
        </w:rPr>
        <w:t>Aucoumea</w:t>
      </w:r>
      <w:proofErr w:type="spellEnd"/>
      <w:r w:rsidRPr="00C30BAE">
        <w:rPr>
          <w:rFonts w:asciiTheme="majorHAnsi" w:hAnsiTheme="majorHAnsi" w:cstheme="majorHAnsi"/>
          <w:b/>
          <w:sz w:val="24"/>
          <w:szCs w:val="24"/>
          <w:lang w:val="en-US"/>
        </w:rPr>
        <w:t xml:space="preserve"> </w:t>
      </w:r>
      <w:proofErr w:type="spellStart"/>
      <w:r w:rsidRPr="00C30BAE">
        <w:rPr>
          <w:rFonts w:asciiTheme="majorHAnsi" w:hAnsiTheme="majorHAnsi" w:cstheme="majorHAnsi"/>
          <w:b/>
          <w:sz w:val="24"/>
          <w:szCs w:val="24"/>
          <w:lang w:val="en-US"/>
        </w:rPr>
        <w:t>klaineana</w:t>
      </w:r>
      <w:proofErr w:type="spellEnd"/>
      <w:r w:rsidRPr="00F942D3">
        <w:rPr>
          <w:rFonts w:asciiTheme="majorHAnsi" w:hAnsiTheme="majorHAnsi" w:cstheme="majorHAnsi"/>
          <w:sz w:val="24"/>
          <w:szCs w:val="24"/>
          <w:lang w:val="en-US"/>
        </w:rPr>
        <w:t>)</w:t>
      </w:r>
      <w:r w:rsidR="002011DE">
        <w:rPr>
          <w:rFonts w:asciiTheme="majorHAnsi" w:hAnsiTheme="majorHAnsi" w:cstheme="majorHAnsi"/>
          <w:sz w:val="24"/>
          <w:szCs w:val="24"/>
          <w:lang w:val="en-US"/>
        </w:rPr>
        <w:t xml:space="preserve"> </w:t>
      </w:r>
      <w:proofErr w:type="spellStart"/>
      <w:r w:rsidR="00DD0199" w:rsidRPr="00F942D3">
        <w:rPr>
          <w:rFonts w:asciiTheme="majorHAnsi" w:eastAsia="Times New Roman" w:hAnsiTheme="majorHAnsi" w:cstheme="majorHAnsi"/>
          <w:sz w:val="24"/>
          <w:szCs w:val="24"/>
          <w:lang w:val="en-US" w:eastAsia="fr-FR"/>
        </w:rPr>
        <w:t>Azobé</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F942D3">
        <w:rPr>
          <w:rFonts w:asciiTheme="majorHAnsi" w:eastAsia="Times New Roman" w:hAnsiTheme="majorHAnsi" w:cstheme="majorHAnsi"/>
          <w:sz w:val="24"/>
          <w:szCs w:val="24"/>
          <w:lang w:val="en-US" w:eastAsia="fr-FR"/>
        </w:rPr>
        <w:t>Bongossi</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Lophira</w:t>
      </w:r>
      <w:proofErr w:type="spellEnd"/>
      <w:r w:rsidR="00DD0199" w:rsidRPr="00C30BAE">
        <w:rPr>
          <w:rFonts w:asciiTheme="majorHAnsi" w:eastAsia="Times New Roman" w:hAnsiTheme="majorHAnsi" w:cstheme="majorHAnsi"/>
          <w: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alata</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F942D3">
        <w:rPr>
          <w:rFonts w:asciiTheme="majorHAnsi" w:eastAsia="Times New Roman" w:hAnsiTheme="majorHAnsi" w:cstheme="majorHAnsi"/>
          <w:sz w:val="24"/>
          <w:szCs w:val="24"/>
          <w:lang w:val="en-US" w:eastAsia="fr-FR"/>
        </w:rPr>
        <w:t>Okan</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Cylicodiscus</w:t>
      </w:r>
      <w:proofErr w:type="spellEnd"/>
      <w:r w:rsidR="00DD0199" w:rsidRPr="00C30BAE">
        <w:rPr>
          <w:rFonts w:asciiTheme="majorHAnsi" w:eastAsia="Times New Roman" w:hAnsiTheme="majorHAnsi" w:cstheme="majorHAnsi"/>
          <w: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gabunensis</w:t>
      </w:r>
      <w:proofErr w:type="spellEnd"/>
      <w:r w:rsidR="00DD0199" w:rsidRPr="00F942D3">
        <w:rPr>
          <w:rFonts w:asciiTheme="majorHAnsi" w:eastAsia="Times New Roman" w:hAnsiTheme="majorHAnsi" w:cstheme="majorHAnsi"/>
          <w:sz w:val="24"/>
          <w:szCs w:val="24"/>
          <w:lang w:val="en-US" w:eastAsia="fr-FR"/>
        </w:rPr>
        <w:t xml:space="preserve">), the </w:t>
      </w:r>
      <w:proofErr w:type="spellStart"/>
      <w:r w:rsidR="00DD0199" w:rsidRPr="00F942D3">
        <w:rPr>
          <w:rFonts w:asciiTheme="majorHAnsi" w:eastAsia="Times New Roman" w:hAnsiTheme="majorHAnsi" w:cstheme="majorHAnsi"/>
          <w:sz w:val="24"/>
          <w:szCs w:val="24"/>
          <w:lang w:val="en-US" w:eastAsia="fr-FR"/>
        </w:rPr>
        <w:t>Padouk</w:t>
      </w:r>
      <w:proofErr w:type="spellEnd"/>
      <w:r w:rsidR="00DD0199" w:rsidRPr="00F942D3">
        <w:rPr>
          <w:rFonts w:asciiTheme="majorHAnsi" w:eastAsia="Times New Roman" w:hAnsiTheme="majorHAnsi" w:cstheme="majorHAnsi"/>
          <w:sz w:val="24"/>
          <w:szCs w:val="24"/>
          <w:lang w:val="en-US" w:eastAsia="fr-FR"/>
        </w:rPr>
        <w:t xml:space="preserve"> </w:t>
      </w:r>
      <w:r w:rsidR="00C30BAE">
        <w:rPr>
          <w:rFonts w:asciiTheme="majorHAnsi" w:eastAsia="Times New Roman" w:hAnsiTheme="majorHAnsi" w:cstheme="majorHAnsi"/>
          <w:sz w:val="24"/>
          <w:szCs w:val="24"/>
          <w:lang w:val="en-US" w:eastAsia="fr-FR"/>
        </w:rPr>
        <w:t xml:space="preserve">of Africa </w:t>
      </w:r>
      <w:r w:rsidR="00DD0199" w:rsidRPr="00F942D3">
        <w:rPr>
          <w:rFonts w:asciiTheme="majorHAnsi" w:eastAsia="Times New Roman" w:hAnsiTheme="majorHAnsi" w:cstheme="majorHAnsi"/>
          <w:sz w:val="24"/>
          <w:szCs w:val="24"/>
          <w:lang w:val="en-US" w:eastAsia="fr-FR"/>
        </w:rPr>
        <w:t>(</w:t>
      </w:r>
      <w:proofErr w:type="spellStart"/>
      <w:r w:rsidR="00DD0199" w:rsidRPr="00C30BAE">
        <w:rPr>
          <w:rFonts w:asciiTheme="majorHAnsi" w:eastAsia="Times New Roman" w:hAnsiTheme="majorHAnsi" w:cstheme="majorHAnsi"/>
          <w:i/>
          <w:sz w:val="24"/>
          <w:szCs w:val="24"/>
          <w:lang w:val="en-US" w:eastAsia="fr-FR"/>
        </w:rPr>
        <w:t>Pterocarpus</w:t>
      </w:r>
      <w:proofErr w:type="spellEnd"/>
      <w:r w:rsidR="00DD0199" w:rsidRPr="00C30BAE">
        <w:rPr>
          <w:rFonts w:asciiTheme="majorHAnsi" w:eastAsia="Times New Roman" w:hAnsiTheme="majorHAnsi" w:cstheme="majorHAnsi"/>
          <w: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soyauxii</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F942D3">
        <w:rPr>
          <w:rFonts w:asciiTheme="majorHAnsi" w:eastAsia="Times New Roman" w:hAnsiTheme="majorHAnsi" w:cstheme="majorHAnsi"/>
          <w:sz w:val="24"/>
          <w:szCs w:val="24"/>
          <w:lang w:val="en-US" w:eastAsia="fr-FR"/>
        </w:rPr>
        <w:t>Beli</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Julbernardia</w:t>
      </w:r>
      <w:proofErr w:type="spellEnd"/>
      <w:r w:rsidR="00DD0199" w:rsidRPr="00C30BAE">
        <w:rPr>
          <w:rFonts w:asciiTheme="majorHAnsi" w:eastAsia="Times New Roman" w:hAnsiTheme="majorHAnsi" w:cstheme="majorHAnsi"/>
          <w: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pellegriniana</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F942D3">
        <w:rPr>
          <w:rFonts w:asciiTheme="majorHAnsi" w:eastAsia="Times New Roman" w:hAnsiTheme="majorHAnsi" w:cstheme="majorHAnsi"/>
          <w:sz w:val="24"/>
          <w:szCs w:val="24"/>
          <w:lang w:val="en-US" w:eastAsia="fr-FR"/>
        </w:rPr>
        <w:t>Tali</w:t>
      </w:r>
      <w:proofErr w:type="spellEnd"/>
      <w:r w:rsidR="00DD0199" w:rsidRPr="00F942D3">
        <w:rPr>
          <w:rFonts w:asciiTheme="majorHAnsi" w:eastAsia="Times New Roman" w:hAnsiTheme="majorHAnsi" w:cstheme="majorHAns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Erythrophleum</w:t>
      </w:r>
      <w:proofErr w:type="spellEnd"/>
      <w:r w:rsidR="00DD0199" w:rsidRPr="00C30BAE">
        <w:rPr>
          <w:rFonts w:asciiTheme="majorHAnsi" w:eastAsia="Times New Roman" w:hAnsiTheme="majorHAnsi" w:cstheme="majorHAnsi"/>
          <w:i/>
          <w:sz w:val="24"/>
          <w:szCs w:val="24"/>
          <w:lang w:val="en-US" w:eastAsia="fr-FR"/>
        </w:rPr>
        <w:t xml:space="preserve"> </w:t>
      </w:r>
      <w:proofErr w:type="spellStart"/>
      <w:r w:rsidR="00DD0199" w:rsidRPr="00C30BAE">
        <w:rPr>
          <w:rFonts w:asciiTheme="majorHAnsi" w:eastAsia="Times New Roman" w:hAnsiTheme="majorHAnsi" w:cstheme="majorHAnsi"/>
          <w:i/>
          <w:sz w:val="24"/>
          <w:szCs w:val="24"/>
          <w:lang w:val="en-US" w:eastAsia="fr-FR"/>
        </w:rPr>
        <w:t>suaveolens</w:t>
      </w:r>
      <w:proofErr w:type="spellEnd"/>
      <w:r w:rsidR="00DD0199" w:rsidRPr="00F942D3">
        <w:rPr>
          <w:rFonts w:asciiTheme="majorHAnsi" w:eastAsia="Times New Roman" w:hAnsiTheme="majorHAnsi" w:cstheme="majorHAnsi"/>
          <w:sz w:val="24"/>
          <w:szCs w:val="24"/>
          <w:lang w:val="en-US" w:eastAsia="fr-FR"/>
        </w:rPr>
        <w:t xml:space="preserve">), etc. Since 1995, the timber trade (first processed material) </w:t>
      </w:r>
      <w:r w:rsidR="002011DE">
        <w:rPr>
          <w:rFonts w:asciiTheme="majorHAnsi" w:eastAsia="Times New Roman" w:hAnsiTheme="majorHAnsi" w:cstheme="majorHAnsi"/>
          <w:sz w:val="24"/>
          <w:szCs w:val="24"/>
          <w:lang w:val="en-US" w:eastAsia="fr-FR"/>
        </w:rPr>
        <w:t>has been</w:t>
      </w:r>
      <w:r w:rsidR="00DD0199" w:rsidRPr="00F942D3">
        <w:rPr>
          <w:rFonts w:asciiTheme="majorHAnsi" w:eastAsia="Times New Roman" w:hAnsiTheme="majorHAnsi" w:cstheme="majorHAnsi"/>
          <w:sz w:val="24"/>
          <w:szCs w:val="24"/>
          <w:lang w:val="en-US" w:eastAsia="fr-FR"/>
        </w:rPr>
        <w:t xml:space="preserve"> mainly oriented towards Asia, specifically China (48%)</w:t>
      </w:r>
      <w:r w:rsidR="002011DE">
        <w:rPr>
          <w:rFonts w:asciiTheme="majorHAnsi" w:eastAsia="Times New Roman" w:hAnsiTheme="majorHAnsi" w:cstheme="majorHAnsi"/>
          <w:sz w:val="24"/>
          <w:szCs w:val="24"/>
          <w:lang w:val="en-US" w:eastAsia="fr-FR"/>
        </w:rPr>
        <w:t>;</w:t>
      </w:r>
      <w:r w:rsidR="00C30BAE">
        <w:rPr>
          <w:rFonts w:asciiTheme="majorHAnsi" w:eastAsia="Times New Roman" w:hAnsiTheme="majorHAnsi" w:cstheme="majorHAnsi"/>
          <w:sz w:val="24"/>
          <w:szCs w:val="24"/>
          <w:lang w:val="en-US" w:eastAsia="fr-FR"/>
        </w:rPr>
        <w:t xml:space="preserve"> while products made in China </w:t>
      </w:r>
      <w:r w:rsidR="00DD0199" w:rsidRPr="00F942D3">
        <w:rPr>
          <w:rFonts w:asciiTheme="majorHAnsi" w:eastAsia="Times New Roman" w:hAnsiTheme="majorHAnsi" w:cstheme="majorHAnsi"/>
          <w:sz w:val="24"/>
          <w:szCs w:val="24"/>
          <w:lang w:val="en-US" w:eastAsia="fr-FR"/>
        </w:rPr>
        <w:t>are mainly exported to Europe</w:t>
      </w:r>
      <w:r w:rsidR="00727DB0">
        <w:rPr>
          <w:rStyle w:val="Appelnotedebasdep"/>
          <w:rFonts w:asciiTheme="majorHAnsi" w:eastAsia="Times New Roman" w:hAnsiTheme="majorHAnsi" w:cstheme="majorHAnsi"/>
          <w:sz w:val="24"/>
          <w:szCs w:val="24"/>
          <w:lang w:eastAsia="fr-FR"/>
        </w:rPr>
        <w:footnoteReference w:id="1"/>
      </w:r>
      <w:r w:rsidR="00DD0199" w:rsidRPr="00F942D3">
        <w:rPr>
          <w:rFonts w:asciiTheme="majorHAnsi" w:eastAsia="Times New Roman" w:hAnsiTheme="majorHAnsi" w:cstheme="majorHAnsi"/>
          <w:sz w:val="24"/>
          <w:szCs w:val="24"/>
          <w:lang w:val="en-US" w:eastAsia="fr-FR"/>
        </w:rPr>
        <w:t xml:space="preserve">. </w:t>
      </w:r>
    </w:p>
    <w:p w14:paraId="4B98E9D2" w14:textId="7074BB75" w:rsidR="000C35CF" w:rsidRPr="00F942D3" w:rsidRDefault="00B8251F" w:rsidP="00E23049">
      <w:pPr>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Given its potential economic, environmental and social benefits, and </w:t>
      </w:r>
      <w:r w:rsidR="00C30BAE">
        <w:rPr>
          <w:rFonts w:asciiTheme="majorHAnsi" w:hAnsiTheme="majorHAnsi" w:cstheme="majorHAnsi"/>
          <w:sz w:val="24"/>
          <w:szCs w:val="24"/>
          <w:lang w:val="en-US"/>
        </w:rPr>
        <w:t>with its</w:t>
      </w:r>
      <w:r w:rsidRPr="00F942D3">
        <w:rPr>
          <w:rFonts w:asciiTheme="majorHAnsi" w:hAnsiTheme="majorHAnsi" w:cstheme="majorHAnsi"/>
          <w:sz w:val="24"/>
          <w:szCs w:val="24"/>
          <w:lang w:val="en-US"/>
        </w:rPr>
        <w:t xml:space="preserve"> international commitments to sustainable development, the Gabonese State </w:t>
      </w:r>
      <w:r w:rsidR="00DE260E">
        <w:rPr>
          <w:rFonts w:asciiTheme="majorHAnsi" w:hAnsiTheme="majorHAnsi" w:cstheme="majorHAnsi"/>
          <w:sz w:val="24"/>
          <w:szCs w:val="24"/>
          <w:lang w:val="en-US"/>
        </w:rPr>
        <w:t>is in the process of re</w:t>
      </w:r>
      <w:r w:rsidRPr="00F942D3">
        <w:rPr>
          <w:rFonts w:asciiTheme="majorHAnsi" w:hAnsiTheme="majorHAnsi" w:cstheme="majorHAnsi"/>
          <w:sz w:val="24"/>
          <w:szCs w:val="24"/>
          <w:lang w:val="en-US"/>
        </w:rPr>
        <w:t>structur</w:t>
      </w:r>
      <w:r w:rsidR="00DE260E">
        <w:rPr>
          <w:rFonts w:asciiTheme="majorHAnsi" w:hAnsiTheme="majorHAnsi" w:cstheme="majorHAnsi"/>
          <w:sz w:val="24"/>
          <w:szCs w:val="24"/>
          <w:lang w:val="en-US"/>
        </w:rPr>
        <w:t>ing</w:t>
      </w:r>
      <w:r w:rsidRPr="00F942D3">
        <w:rPr>
          <w:rFonts w:asciiTheme="majorHAnsi" w:hAnsiTheme="majorHAnsi" w:cstheme="majorHAnsi"/>
          <w:sz w:val="24"/>
          <w:szCs w:val="24"/>
          <w:lang w:val="en-US"/>
        </w:rPr>
        <w:t xml:space="preserve"> the sector to ensure sustainability. Since 2001, the Government has undertaken several reforms aimed at ensuring sustainable forest management. Among these, there are the revision</w:t>
      </w:r>
      <w:r w:rsidR="00DE260E">
        <w:rPr>
          <w:rFonts w:asciiTheme="majorHAnsi" w:hAnsiTheme="majorHAnsi" w:cstheme="majorHAnsi"/>
          <w:sz w:val="24"/>
          <w:szCs w:val="24"/>
          <w:lang w:val="en-US"/>
        </w:rPr>
        <w:t>s</w:t>
      </w:r>
      <w:r w:rsidRPr="00F942D3">
        <w:rPr>
          <w:rFonts w:asciiTheme="majorHAnsi" w:hAnsiTheme="majorHAnsi" w:cstheme="majorHAnsi"/>
          <w:sz w:val="24"/>
          <w:szCs w:val="24"/>
          <w:lang w:val="en-US"/>
        </w:rPr>
        <w:t xml:space="preserve"> </w:t>
      </w:r>
      <w:r w:rsidR="00DE260E">
        <w:rPr>
          <w:rFonts w:asciiTheme="majorHAnsi" w:hAnsiTheme="majorHAnsi" w:cstheme="majorHAnsi"/>
          <w:sz w:val="24"/>
          <w:szCs w:val="24"/>
          <w:lang w:val="en-US"/>
        </w:rPr>
        <w:t>to</w:t>
      </w:r>
      <w:r w:rsidRPr="00F942D3">
        <w:rPr>
          <w:rFonts w:asciiTheme="majorHAnsi" w:hAnsiTheme="majorHAnsi" w:cstheme="majorHAnsi"/>
          <w:sz w:val="24"/>
          <w:szCs w:val="24"/>
          <w:lang w:val="en-US"/>
        </w:rPr>
        <w:t xml:space="preserve"> forestry law (first in 2001 and the current one since 2014), </w:t>
      </w:r>
      <w:r w:rsidR="00DE260E" w:rsidRPr="00DE260E">
        <w:rPr>
          <w:rFonts w:asciiTheme="majorHAnsi" w:hAnsiTheme="majorHAnsi" w:cstheme="majorHAnsi"/>
          <w:sz w:val="24"/>
          <w:szCs w:val="24"/>
          <w:lang w:val="en-US"/>
        </w:rPr>
        <w:t>the ban on log exports (in 2010), the launch of the country's FLEGT membership process (2010), the obligation to develop a wildlife protection plan and the generalization of FSC certification to all forest dealers (2018). In order to support Gabon's efforts, measures are being taken on the side of the recipient countries of Gabonese forest products to ensure the legality of timber entering their territories, particularly the European Union</w:t>
      </w:r>
      <w:r w:rsidR="00DE260E">
        <w:rPr>
          <w:rFonts w:asciiTheme="majorHAnsi" w:hAnsiTheme="majorHAnsi" w:cstheme="majorHAnsi"/>
          <w:sz w:val="24"/>
          <w:szCs w:val="24"/>
          <w:lang w:val="en-US"/>
        </w:rPr>
        <w:t xml:space="preserve"> and</w:t>
      </w:r>
      <w:r w:rsidR="00DE260E" w:rsidRPr="00DE260E">
        <w:rPr>
          <w:rFonts w:asciiTheme="majorHAnsi" w:hAnsiTheme="majorHAnsi" w:cstheme="majorHAnsi"/>
          <w:sz w:val="24"/>
          <w:szCs w:val="24"/>
          <w:lang w:val="en-US"/>
        </w:rPr>
        <w:t xml:space="preserve"> China.</w:t>
      </w:r>
    </w:p>
    <w:p w14:paraId="19A845CD" w14:textId="77777777" w:rsidR="00DE260E" w:rsidRDefault="00DE260E" w:rsidP="00E23049">
      <w:pPr>
        <w:spacing w:after="0" w:line="288" w:lineRule="auto"/>
        <w:jc w:val="both"/>
        <w:rPr>
          <w:rFonts w:asciiTheme="majorHAnsi" w:hAnsiTheme="majorHAnsi" w:cstheme="majorHAnsi"/>
          <w:sz w:val="24"/>
          <w:szCs w:val="24"/>
          <w:lang w:val="en-US"/>
        </w:rPr>
      </w:pPr>
    </w:p>
    <w:p w14:paraId="444F0B5C" w14:textId="29EEBF82" w:rsidR="00732AEC" w:rsidRPr="00F942D3" w:rsidRDefault="00316018" w:rsidP="00E23049">
      <w:pPr>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lastRenderedPageBreak/>
        <w:t xml:space="preserve">In 2010, the EU adopted the FLEGT action plan which includes measures acting on both </w:t>
      </w:r>
      <w:r w:rsidR="00DE260E">
        <w:rPr>
          <w:rFonts w:asciiTheme="majorHAnsi" w:hAnsiTheme="majorHAnsi" w:cstheme="majorHAnsi"/>
          <w:sz w:val="24"/>
          <w:szCs w:val="24"/>
          <w:lang w:val="en-US"/>
        </w:rPr>
        <w:t xml:space="preserve">supply and demand, such as </w:t>
      </w:r>
      <w:r w:rsidRPr="00F942D3">
        <w:rPr>
          <w:rFonts w:asciiTheme="majorHAnsi" w:hAnsiTheme="majorHAnsi" w:cstheme="majorHAnsi"/>
          <w:sz w:val="24"/>
          <w:szCs w:val="24"/>
          <w:lang w:val="en-US"/>
        </w:rPr>
        <w:t xml:space="preserve">the </w:t>
      </w:r>
      <w:r w:rsidR="00DE260E">
        <w:rPr>
          <w:rFonts w:asciiTheme="majorHAnsi" w:hAnsiTheme="majorHAnsi" w:cstheme="majorHAnsi"/>
          <w:sz w:val="24"/>
          <w:szCs w:val="24"/>
          <w:lang w:val="en-US"/>
        </w:rPr>
        <w:t>EU Timber Regulation</w:t>
      </w:r>
      <w:r w:rsidRPr="00F942D3">
        <w:rPr>
          <w:rFonts w:asciiTheme="majorHAnsi" w:hAnsiTheme="majorHAnsi" w:cstheme="majorHAnsi"/>
          <w:sz w:val="24"/>
          <w:szCs w:val="24"/>
          <w:lang w:val="en-US"/>
        </w:rPr>
        <w:t xml:space="preserve"> (EUTR, 2013). In addition, it </w:t>
      </w:r>
      <w:r w:rsidR="004F365A">
        <w:rPr>
          <w:rFonts w:asciiTheme="majorHAnsi" w:hAnsiTheme="majorHAnsi" w:cstheme="majorHAnsi"/>
          <w:sz w:val="24"/>
          <w:szCs w:val="24"/>
          <w:lang w:val="en-US"/>
        </w:rPr>
        <w:t xml:space="preserve">has </w:t>
      </w:r>
      <w:r w:rsidRPr="00F942D3">
        <w:rPr>
          <w:rFonts w:asciiTheme="majorHAnsi" w:hAnsiTheme="majorHAnsi" w:cstheme="majorHAnsi"/>
          <w:sz w:val="24"/>
          <w:szCs w:val="24"/>
          <w:lang w:val="en-US"/>
        </w:rPr>
        <w:t xml:space="preserve">adopted </w:t>
      </w:r>
      <w:r w:rsidR="000F17EB" w:rsidRPr="00F942D3">
        <w:rPr>
          <w:rFonts w:asciiTheme="majorHAnsi" w:hAnsiTheme="majorHAnsi" w:cstheme="majorHAnsi"/>
          <w:sz w:val="24"/>
          <w:szCs w:val="24"/>
          <w:lang w:val="en-US"/>
        </w:rPr>
        <w:t xml:space="preserve">legality </w:t>
      </w:r>
      <w:r w:rsidR="000F17EB">
        <w:rPr>
          <w:rFonts w:asciiTheme="majorHAnsi" w:hAnsiTheme="majorHAnsi" w:cstheme="majorHAnsi"/>
          <w:sz w:val="24"/>
          <w:szCs w:val="24"/>
          <w:lang w:val="en-US"/>
        </w:rPr>
        <w:t xml:space="preserve">verification </w:t>
      </w:r>
      <w:r w:rsidRPr="00F942D3">
        <w:rPr>
          <w:rFonts w:asciiTheme="majorHAnsi" w:hAnsiTheme="majorHAnsi" w:cstheme="majorHAnsi"/>
          <w:sz w:val="24"/>
          <w:szCs w:val="24"/>
          <w:lang w:val="en-US"/>
        </w:rPr>
        <w:t>procedures of products sold on its market.</w:t>
      </w:r>
    </w:p>
    <w:p w14:paraId="32D3B91E" w14:textId="451A7E48" w:rsidR="004F365A" w:rsidRPr="004F365A" w:rsidRDefault="004F365A" w:rsidP="004F365A">
      <w:pPr>
        <w:spacing w:after="0" w:line="288" w:lineRule="auto"/>
        <w:jc w:val="both"/>
        <w:rPr>
          <w:rFonts w:asciiTheme="majorHAnsi" w:hAnsiTheme="majorHAnsi" w:cstheme="majorHAnsi"/>
          <w:sz w:val="24"/>
          <w:szCs w:val="24"/>
          <w:lang w:val="en-US"/>
        </w:rPr>
      </w:pPr>
      <w:r w:rsidRPr="004F365A">
        <w:rPr>
          <w:rFonts w:asciiTheme="majorHAnsi" w:hAnsiTheme="majorHAnsi" w:cstheme="majorHAnsi"/>
          <w:sz w:val="24"/>
          <w:szCs w:val="24"/>
          <w:lang w:val="en-US"/>
        </w:rPr>
        <w:t>On the Chinese side, the Government has also developed policies, tools and standards to combat illegal logging and the illegal timber trade,</w:t>
      </w:r>
      <w:r>
        <w:rPr>
          <w:rFonts w:asciiTheme="majorHAnsi" w:hAnsiTheme="majorHAnsi" w:cstheme="majorHAnsi"/>
          <w:sz w:val="24"/>
          <w:szCs w:val="24"/>
          <w:lang w:val="en-US"/>
        </w:rPr>
        <w:t xml:space="preserve"> such as</w:t>
      </w:r>
      <w:r w:rsidRPr="004F365A">
        <w:rPr>
          <w:rFonts w:asciiTheme="majorHAnsi" w:hAnsiTheme="majorHAnsi" w:cstheme="majorHAnsi"/>
          <w:sz w:val="24"/>
          <w:szCs w:val="24"/>
          <w:lang w:val="en-US"/>
        </w:rPr>
        <w:t xml:space="preserve"> the Foreign Trade Law (2004). China's goal is to develop a </w:t>
      </w:r>
      <w:r>
        <w:rPr>
          <w:rFonts w:asciiTheme="majorHAnsi" w:hAnsiTheme="majorHAnsi" w:cstheme="majorHAnsi"/>
          <w:sz w:val="24"/>
          <w:szCs w:val="24"/>
          <w:lang w:val="en-US"/>
        </w:rPr>
        <w:t xml:space="preserve">legal </w:t>
      </w:r>
      <w:r w:rsidRPr="004F365A">
        <w:rPr>
          <w:rFonts w:asciiTheme="majorHAnsi" w:hAnsiTheme="majorHAnsi" w:cstheme="majorHAnsi"/>
          <w:sz w:val="24"/>
          <w:szCs w:val="24"/>
          <w:lang w:val="en-US"/>
        </w:rPr>
        <w:t>timber framework that meets the requirements of international markets and supports global trade in legal and sustainable forest products.</w:t>
      </w:r>
    </w:p>
    <w:p w14:paraId="2B3346C1" w14:textId="39D0D4F4" w:rsidR="004F365A" w:rsidRPr="004F365A" w:rsidRDefault="004F365A" w:rsidP="004F365A">
      <w:pPr>
        <w:spacing w:before="240" w:after="0" w:line="288" w:lineRule="auto"/>
        <w:jc w:val="both"/>
        <w:rPr>
          <w:rFonts w:asciiTheme="majorHAnsi" w:hAnsiTheme="majorHAnsi" w:cstheme="majorHAnsi"/>
          <w:sz w:val="24"/>
          <w:szCs w:val="24"/>
          <w:lang w:val="en-US"/>
        </w:rPr>
      </w:pPr>
      <w:r w:rsidRPr="004F365A">
        <w:rPr>
          <w:rFonts w:asciiTheme="majorHAnsi" w:hAnsiTheme="majorHAnsi" w:cstheme="majorHAnsi"/>
          <w:sz w:val="24"/>
          <w:szCs w:val="24"/>
          <w:lang w:val="en-US"/>
        </w:rPr>
        <w:t>In order to maintain the accessibility of legal Gabonese wood products in both the Chinese and European markets, these countries must have procedures for monitoring the legality of exploited and marketed timber. Also, with its support to the Gabonese government in the exploitation and responsible trade of timber, WWF proposes to carry out an analysis of the consistency between the standards of legality of Gabon, China and the European Union in the material.</w:t>
      </w:r>
    </w:p>
    <w:p w14:paraId="13796DFF" w14:textId="303CE53E" w:rsidR="00935BC1" w:rsidRPr="004F365A" w:rsidRDefault="000F6E5A" w:rsidP="004F365A">
      <w:pPr>
        <w:spacing w:before="240" w:after="0" w:line="288" w:lineRule="auto"/>
        <w:jc w:val="both"/>
        <w:rPr>
          <w:rFonts w:asciiTheme="majorHAnsi" w:hAnsiTheme="majorHAnsi" w:cstheme="majorHAnsi"/>
          <w:sz w:val="24"/>
          <w:szCs w:val="24"/>
          <w:lang w:val="en-US"/>
        </w:rPr>
      </w:pPr>
      <w:r w:rsidRPr="00F942D3">
        <w:rPr>
          <w:rFonts w:asciiTheme="majorHAnsi" w:hAnsiTheme="majorHAnsi" w:cstheme="majorHAnsi"/>
          <w:b/>
          <w:sz w:val="24"/>
          <w:szCs w:val="24"/>
          <w:lang w:val="en-US"/>
        </w:rPr>
        <w:t>Main objective</w:t>
      </w:r>
    </w:p>
    <w:p w14:paraId="19F494B5" w14:textId="176DFB6E" w:rsidR="004A77D2" w:rsidRPr="00F942D3" w:rsidRDefault="004A77D2" w:rsidP="004A77D2">
      <w:pPr>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This study aims to analyze the strengths and weaknesses of Gabon</w:t>
      </w:r>
      <w:r w:rsidR="004F365A">
        <w:rPr>
          <w:rFonts w:asciiTheme="majorHAnsi" w:hAnsiTheme="majorHAnsi" w:cstheme="majorHAnsi"/>
          <w:sz w:val="24"/>
          <w:szCs w:val="24"/>
          <w:lang w:val="en-US"/>
        </w:rPr>
        <w:t xml:space="preserve"> and China’s</w:t>
      </w:r>
      <w:r w:rsidRPr="00F942D3">
        <w:rPr>
          <w:rFonts w:asciiTheme="majorHAnsi" w:hAnsiTheme="majorHAnsi" w:cstheme="majorHAnsi"/>
          <w:sz w:val="24"/>
          <w:szCs w:val="24"/>
          <w:lang w:val="en-US"/>
        </w:rPr>
        <w:t xml:space="preserve"> legal frameworks </w:t>
      </w:r>
      <w:r w:rsidR="004F365A">
        <w:rPr>
          <w:rFonts w:asciiTheme="majorHAnsi" w:hAnsiTheme="majorHAnsi" w:cstheme="majorHAnsi"/>
          <w:sz w:val="24"/>
          <w:szCs w:val="24"/>
          <w:lang w:val="en-US"/>
        </w:rPr>
        <w:t>in terms of</w:t>
      </w:r>
      <w:r w:rsidRPr="00F942D3">
        <w:rPr>
          <w:rFonts w:asciiTheme="majorHAnsi" w:hAnsiTheme="majorHAnsi" w:cstheme="majorHAnsi"/>
          <w:sz w:val="24"/>
          <w:szCs w:val="24"/>
          <w:lang w:val="en-US"/>
        </w:rPr>
        <w:t xml:space="preserve"> sustainable</w:t>
      </w:r>
      <w:r w:rsidR="004F365A">
        <w:rPr>
          <w:rFonts w:asciiTheme="majorHAnsi" w:hAnsiTheme="majorHAnsi" w:cstheme="majorHAnsi"/>
          <w:sz w:val="24"/>
          <w:szCs w:val="24"/>
          <w:lang w:val="en-US"/>
        </w:rPr>
        <w:t xml:space="preserve"> logging</w:t>
      </w:r>
      <w:r w:rsidRPr="00F942D3">
        <w:rPr>
          <w:rFonts w:asciiTheme="majorHAnsi" w:hAnsiTheme="majorHAnsi" w:cstheme="majorHAnsi"/>
          <w:sz w:val="24"/>
          <w:szCs w:val="24"/>
          <w:lang w:val="en-US"/>
        </w:rPr>
        <w:t xml:space="preserve"> and responsible timber trade to reinforce their consistency with the legal framework of the European Union</w:t>
      </w:r>
      <w:r w:rsidR="004F365A">
        <w:rPr>
          <w:rFonts w:asciiTheme="majorHAnsi" w:hAnsiTheme="majorHAnsi" w:cstheme="majorHAnsi"/>
          <w:sz w:val="24"/>
          <w:szCs w:val="24"/>
          <w:lang w:val="en-US"/>
        </w:rPr>
        <w:t>.</w:t>
      </w:r>
    </w:p>
    <w:p w14:paraId="4D3B8B4B" w14:textId="77777777" w:rsidR="00935BC1" w:rsidRPr="00F942D3" w:rsidRDefault="00DB2CF9" w:rsidP="00BC5A93">
      <w:pPr>
        <w:spacing w:after="0" w:line="288" w:lineRule="auto"/>
        <w:jc w:val="both"/>
        <w:rPr>
          <w:rFonts w:asciiTheme="majorHAnsi" w:hAnsiTheme="majorHAnsi" w:cstheme="majorHAnsi"/>
          <w:b/>
          <w:sz w:val="24"/>
          <w:szCs w:val="24"/>
          <w:lang w:val="en-US"/>
        </w:rPr>
      </w:pPr>
      <w:r w:rsidRPr="00F942D3">
        <w:rPr>
          <w:rFonts w:asciiTheme="majorHAnsi" w:hAnsiTheme="majorHAnsi" w:cstheme="majorHAnsi"/>
          <w:b/>
          <w:sz w:val="24"/>
          <w:szCs w:val="24"/>
          <w:lang w:val="en-US"/>
        </w:rPr>
        <w:t>Specific objectives</w:t>
      </w:r>
    </w:p>
    <w:p w14:paraId="005BA42D" w14:textId="77777777" w:rsidR="00B8251F" w:rsidRPr="00F942D3" w:rsidRDefault="00DB2CF9" w:rsidP="00BC5A93">
      <w:p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Specifically, this will involve:</w:t>
      </w:r>
    </w:p>
    <w:p w14:paraId="39E5BC3E" w14:textId="0BD646EE" w:rsidR="004A77D2" w:rsidRPr="00F942D3" w:rsidRDefault="004A77D2" w:rsidP="00737CB7">
      <w:pPr>
        <w:pStyle w:val="Paragraphedeliste"/>
        <w:numPr>
          <w:ilvl w:val="0"/>
          <w:numId w:val="2"/>
        </w:numPr>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Present the strengths and weaknesses of the legal frameworks of Gabon, China in </w:t>
      </w:r>
      <w:r w:rsidR="004F365A">
        <w:rPr>
          <w:rFonts w:asciiTheme="majorHAnsi" w:hAnsiTheme="majorHAnsi" w:cstheme="majorHAnsi"/>
          <w:sz w:val="24"/>
          <w:szCs w:val="24"/>
          <w:lang w:val="en-US"/>
        </w:rPr>
        <w:t xml:space="preserve">terms of </w:t>
      </w:r>
      <w:r w:rsidRPr="00F942D3">
        <w:rPr>
          <w:rFonts w:asciiTheme="majorHAnsi" w:hAnsiTheme="majorHAnsi" w:cstheme="majorHAnsi"/>
          <w:sz w:val="24"/>
          <w:szCs w:val="24"/>
          <w:lang w:val="en-US"/>
        </w:rPr>
        <w:t xml:space="preserve">sustainable </w:t>
      </w:r>
      <w:r w:rsidR="004F365A">
        <w:rPr>
          <w:rFonts w:asciiTheme="majorHAnsi" w:hAnsiTheme="majorHAnsi" w:cstheme="majorHAnsi"/>
          <w:sz w:val="24"/>
          <w:szCs w:val="24"/>
          <w:lang w:val="en-US"/>
        </w:rPr>
        <w:t>logging</w:t>
      </w:r>
      <w:r w:rsidRPr="00F942D3">
        <w:rPr>
          <w:rFonts w:asciiTheme="majorHAnsi" w:hAnsiTheme="majorHAnsi" w:cstheme="majorHAnsi"/>
          <w:sz w:val="24"/>
          <w:szCs w:val="24"/>
          <w:lang w:val="en-US"/>
        </w:rPr>
        <w:t xml:space="preserve"> and responsible </w:t>
      </w:r>
      <w:r w:rsidR="004F365A">
        <w:rPr>
          <w:rFonts w:asciiTheme="majorHAnsi" w:hAnsiTheme="majorHAnsi" w:cstheme="majorHAnsi"/>
          <w:sz w:val="24"/>
          <w:szCs w:val="24"/>
          <w:lang w:val="en-US"/>
        </w:rPr>
        <w:t>timber</w:t>
      </w:r>
      <w:r w:rsidRPr="00F942D3">
        <w:rPr>
          <w:rFonts w:asciiTheme="majorHAnsi" w:hAnsiTheme="majorHAnsi" w:cstheme="majorHAnsi"/>
          <w:sz w:val="24"/>
          <w:szCs w:val="24"/>
          <w:lang w:val="en-US"/>
        </w:rPr>
        <w:t xml:space="preserve"> trade;</w:t>
      </w:r>
    </w:p>
    <w:p w14:paraId="3D736CB1" w14:textId="6BC85DBF" w:rsidR="004A77D2" w:rsidRPr="00F942D3" w:rsidRDefault="004A77D2" w:rsidP="00737CB7">
      <w:pPr>
        <w:pStyle w:val="Paragraphedeliste"/>
        <w:numPr>
          <w:ilvl w:val="0"/>
          <w:numId w:val="2"/>
        </w:numPr>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Identify the similarities, points of convergence and inconsistencies between the legal frameworks for sustainable </w:t>
      </w:r>
      <w:r w:rsidR="004F365A">
        <w:rPr>
          <w:rFonts w:asciiTheme="majorHAnsi" w:hAnsiTheme="majorHAnsi" w:cstheme="majorHAnsi"/>
          <w:sz w:val="24"/>
          <w:szCs w:val="24"/>
          <w:lang w:val="en-US"/>
        </w:rPr>
        <w:t>logging</w:t>
      </w:r>
      <w:r w:rsidRPr="00F942D3">
        <w:rPr>
          <w:rFonts w:asciiTheme="majorHAnsi" w:hAnsiTheme="majorHAnsi" w:cstheme="majorHAnsi"/>
          <w:sz w:val="24"/>
          <w:szCs w:val="24"/>
          <w:lang w:val="en-US"/>
        </w:rPr>
        <w:t xml:space="preserve"> and responsible timber trade </w:t>
      </w:r>
      <w:r w:rsidR="004F365A">
        <w:rPr>
          <w:rFonts w:asciiTheme="majorHAnsi" w:hAnsiTheme="majorHAnsi" w:cstheme="majorHAnsi"/>
          <w:sz w:val="24"/>
          <w:szCs w:val="24"/>
          <w:lang w:val="en-US"/>
        </w:rPr>
        <w:t xml:space="preserve">in </w:t>
      </w:r>
      <w:r w:rsidRPr="00F942D3">
        <w:rPr>
          <w:rFonts w:asciiTheme="majorHAnsi" w:hAnsiTheme="majorHAnsi" w:cstheme="majorHAnsi"/>
          <w:sz w:val="24"/>
          <w:szCs w:val="24"/>
          <w:lang w:val="en-US"/>
        </w:rPr>
        <w:t>Gabon, China and the EU;</w:t>
      </w:r>
    </w:p>
    <w:p w14:paraId="101D97CC" w14:textId="3987EF12" w:rsidR="004A77D2" w:rsidRPr="00F942D3" w:rsidRDefault="004A77D2" w:rsidP="00737CB7">
      <w:pPr>
        <w:pStyle w:val="Paragraphedeliste"/>
        <w:numPr>
          <w:ilvl w:val="0"/>
          <w:numId w:val="2"/>
        </w:numPr>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Make recommendations for strengthening coherence between the legal frameworks</w:t>
      </w:r>
      <w:r w:rsidR="00945FAA">
        <w:rPr>
          <w:rFonts w:asciiTheme="majorHAnsi" w:hAnsiTheme="majorHAnsi" w:cstheme="majorHAnsi"/>
          <w:sz w:val="24"/>
          <w:szCs w:val="24"/>
          <w:lang w:val="en-US"/>
        </w:rPr>
        <w:t xml:space="preserve"> of </w:t>
      </w:r>
      <w:r w:rsidR="00945FAA" w:rsidRPr="00F942D3">
        <w:rPr>
          <w:rFonts w:asciiTheme="majorHAnsi" w:hAnsiTheme="majorHAnsi" w:cstheme="majorHAnsi"/>
          <w:sz w:val="24"/>
          <w:szCs w:val="24"/>
          <w:lang w:val="en-US"/>
        </w:rPr>
        <w:t>Gabon</w:t>
      </w:r>
      <w:r w:rsidR="00945FAA">
        <w:rPr>
          <w:rFonts w:asciiTheme="majorHAnsi" w:hAnsiTheme="majorHAnsi" w:cstheme="majorHAnsi"/>
          <w:sz w:val="24"/>
          <w:szCs w:val="24"/>
          <w:lang w:val="en-US"/>
        </w:rPr>
        <w:t>,</w:t>
      </w:r>
      <w:r w:rsidR="00945FAA" w:rsidRPr="00F942D3">
        <w:rPr>
          <w:rFonts w:asciiTheme="majorHAnsi" w:hAnsiTheme="majorHAnsi" w:cstheme="majorHAnsi"/>
          <w:sz w:val="24"/>
          <w:szCs w:val="24"/>
          <w:lang w:val="en-US"/>
        </w:rPr>
        <w:t xml:space="preserve"> </w:t>
      </w:r>
      <w:r w:rsidRPr="00F942D3">
        <w:rPr>
          <w:rFonts w:asciiTheme="majorHAnsi" w:hAnsiTheme="majorHAnsi" w:cstheme="majorHAnsi"/>
          <w:sz w:val="24"/>
          <w:szCs w:val="24"/>
          <w:lang w:val="en-US"/>
        </w:rPr>
        <w:t xml:space="preserve">China and the EU in sustainable </w:t>
      </w:r>
      <w:r w:rsidR="00945FAA">
        <w:rPr>
          <w:rFonts w:asciiTheme="majorHAnsi" w:hAnsiTheme="majorHAnsi" w:cstheme="majorHAnsi"/>
          <w:sz w:val="24"/>
          <w:szCs w:val="24"/>
          <w:lang w:val="en-US"/>
        </w:rPr>
        <w:t>logging</w:t>
      </w:r>
      <w:r w:rsidRPr="00F942D3">
        <w:rPr>
          <w:rFonts w:asciiTheme="majorHAnsi" w:hAnsiTheme="majorHAnsi" w:cstheme="majorHAnsi"/>
          <w:sz w:val="24"/>
          <w:szCs w:val="24"/>
          <w:lang w:val="en-US"/>
        </w:rPr>
        <w:t xml:space="preserve"> and responsible </w:t>
      </w:r>
      <w:r w:rsidR="00945FAA">
        <w:rPr>
          <w:rFonts w:asciiTheme="majorHAnsi" w:hAnsiTheme="majorHAnsi" w:cstheme="majorHAnsi"/>
          <w:sz w:val="24"/>
          <w:szCs w:val="24"/>
          <w:lang w:val="en-US"/>
        </w:rPr>
        <w:t>timber</w:t>
      </w:r>
      <w:r w:rsidRPr="00F942D3">
        <w:rPr>
          <w:rFonts w:asciiTheme="majorHAnsi" w:hAnsiTheme="majorHAnsi" w:cstheme="majorHAnsi"/>
          <w:sz w:val="24"/>
          <w:szCs w:val="24"/>
          <w:lang w:val="en-US"/>
        </w:rPr>
        <w:t xml:space="preserve"> trade;</w:t>
      </w:r>
    </w:p>
    <w:p w14:paraId="42A86397" w14:textId="3D5E0E80" w:rsidR="00737CB7" w:rsidRPr="00F942D3" w:rsidRDefault="00737CB7" w:rsidP="00737CB7">
      <w:pPr>
        <w:pStyle w:val="Paragraphedeliste"/>
        <w:numPr>
          <w:ilvl w:val="0"/>
          <w:numId w:val="2"/>
        </w:numPr>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Present the results of the analysis to </w:t>
      </w:r>
      <w:r w:rsidR="00945FAA">
        <w:rPr>
          <w:rFonts w:asciiTheme="majorHAnsi" w:hAnsiTheme="majorHAnsi" w:cstheme="majorHAnsi"/>
          <w:sz w:val="24"/>
          <w:szCs w:val="24"/>
          <w:lang w:val="en-US"/>
        </w:rPr>
        <w:t>the main actors</w:t>
      </w:r>
      <w:r w:rsidRPr="00F942D3">
        <w:rPr>
          <w:rFonts w:asciiTheme="majorHAnsi" w:hAnsiTheme="majorHAnsi" w:cstheme="majorHAnsi"/>
          <w:sz w:val="24"/>
          <w:szCs w:val="24"/>
          <w:lang w:val="en-US"/>
        </w:rPr>
        <w:t xml:space="preserve"> in the sustainable forest management and responsible timber trade</w:t>
      </w:r>
      <w:r w:rsidR="00945FAA">
        <w:rPr>
          <w:rFonts w:asciiTheme="majorHAnsi" w:hAnsiTheme="majorHAnsi" w:cstheme="majorHAnsi"/>
          <w:sz w:val="24"/>
          <w:szCs w:val="24"/>
          <w:lang w:val="en-US"/>
        </w:rPr>
        <w:t xml:space="preserve"> sectors</w:t>
      </w:r>
      <w:r w:rsidRPr="00F942D3">
        <w:rPr>
          <w:rFonts w:asciiTheme="majorHAnsi" w:hAnsiTheme="majorHAnsi" w:cstheme="majorHAnsi"/>
          <w:sz w:val="24"/>
          <w:szCs w:val="24"/>
          <w:lang w:val="en-US"/>
        </w:rPr>
        <w:t xml:space="preserve"> in Gabon.</w:t>
      </w:r>
    </w:p>
    <w:p w14:paraId="6A544759" w14:textId="6BFA1B3B" w:rsidR="003D4AFD" w:rsidRPr="00F942D3" w:rsidRDefault="00394B45" w:rsidP="003D4AFD">
      <w:pPr>
        <w:tabs>
          <w:tab w:val="left" w:pos="3772"/>
        </w:tabs>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Study duration</w:t>
      </w:r>
    </w:p>
    <w:p w14:paraId="3E420703" w14:textId="2CDDED2C" w:rsidR="003D4AFD" w:rsidRPr="00F942D3" w:rsidRDefault="000F17EB" w:rsidP="003D4AFD">
      <w:pPr>
        <w:tabs>
          <w:tab w:val="left" w:pos="3772"/>
        </w:tabs>
        <w:spacing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The study will last 15</w:t>
      </w:r>
      <w:r w:rsidR="003D4AFD" w:rsidRPr="00F942D3">
        <w:rPr>
          <w:rFonts w:asciiTheme="majorHAnsi" w:hAnsiTheme="majorHAnsi" w:cstheme="majorHAnsi"/>
          <w:sz w:val="24"/>
          <w:szCs w:val="24"/>
          <w:lang w:val="en-US"/>
        </w:rPr>
        <w:t xml:space="preserve"> working days from the date of signing the contract with the consultant. </w:t>
      </w:r>
    </w:p>
    <w:p w14:paraId="4788F6FC"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6C780187"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52DF8C08"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650BEFA3"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15F52D2A"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79D25BC7"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1617D1FD" w14:textId="77777777" w:rsidR="00312461" w:rsidRDefault="00312461" w:rsidP="003D4AFD">
      <w:pPr>
        <w:tabs>
          <w:tab w:val="left" w:pos="3772"/>
        </w:tabs>
        <w:spacing w:line="288" w:lineRule="auto"/>
        <w:jc w:val="both"/>
        <w:rPr>
          <w:rFonts w:asciiTheme="majorHAnsi" w:hAnsiTheme="majorHAnsi" w:cstheme="majorHAnsi"/>
          <w:b/>
          <w:sz w:val="24"/>
          <w:szCs w:val="24"/>
        </w:rPr>
      </w:pPr>
    </w:p>
    <w:p w14:paraId="4EC2AE4F" w14:textId="3098F13F" w:rsidR="003D4AFD" w:rsidRPr="003D4AFD" w:rsidRDefault="003D4AFD" w:rsidP="003D4AFD">
      <w:pPr>
        <w:tabs>
          <w:tab w:val="left" w:pos="3772"/>
        </w:tabs>
        <w:spacing w:line="288" w:lineRule="auto"/>
        <w:jc w:val="both"/>
        <w:rPr>
          <w:rFonts w:asciiTheme="majorHAnsi" w:hAnsiTheme="majorHAnsi" w:cstheme="majorHAnsi"/>
          <w:b/>
          <w:sz w:val="24"/>
          <w:szCs w:val="24"/>
        </w:rPr>
      </w:pPr>
      <w:r w:rsidRPr="003D4AFD">
        <w:rPr>
          <w:rFonts w:asciiTheme="majorHAnsi" w:hAnsiTheme="majorHAnsi" w:cstheme="majorHAnsi"/>
          <w:b/>
          <w:sz w:val="24"/>
          <w:szCs w:val="24"/>
        </w:rPr>
        <w:t xml:space="preserve">Key </w:t>
      </w:r>
      <w:r w:rsidR="00394B45">
        <w:rPr>
          <w:rFonts w:asciiTheme="majorHAnsi" w:hAnsiTheme="majorHAnsi" w:cstheme="majorHAnsi"/>
          <w:b/>
          <w:sz w:val="24"/>
          <w:szCs w:val="24"/>
          <w:lang w:val="en-CA"/>
        </w:rPr>
        <w:t>a</w:t>
      </w:r>
      <w:r w:rsidRPr="00945FAA">
        <w:rPr>
          <w:rFonts w:asciiTheme="majorHAnsi" w:hAnsiTheme="majorHAnsi" w:cstheme="majorHAnsi"/>
          <w:b/>
          <w:sz w:val="24"/>
          <w:szCs w:val="24"/>
          <w:lang w:val="en-CA"/>
        </w:rPr>
        <w:t>ctivities</w:t>
      </w:r>
      <w:r w:rsidRPr="003D4AFD">
        <w:rPr>
          <w:rFonts w:asciiTheme="majorHAnsi" w:hAnsiTheme="majorHAnsi" w:cstheme="majorHAnsi"/>
          <w:b/>
          <w:sz w:val="24"/>
          <w:szCs w:val="24"/>
        </w:rPr>
        <w:t xml:space="preserve"> </w:t>
      </w:r>
      <w:proofErr w:type="spellStart"/>
      <w:r w:rsidRPr="003D4AFD">
        <w:rPr>
          <w:rFonts w:asciiTheme="majorHAnsi" w:hAnsiTheme="majorHAnsi" w:cstheme="majorHAnsi"/>
          <w:b/>
          <w:sz w:val="24"/>
          <w:szCs w:val="24"/>
        </w:rPr>
        <w:t>calendar</w:t>
      </w:r>
      <w:proofErr w:type="spellEnd"/>
    </w:p>
    <w:tbl>
      <w:tblPr>
        <w:tblStyle w:val="Grilledutableau"/>
        <w:tblW w:w="0" w:type="auto"/>
        <w:tblLook w:val="04A0" w:firstRow="1" w:lastRow="0" w:firstColumn="1" w:lastColumn="0" w:noHBand="0" w:noVBand="1"/>
      </w:tblPr>
      <w:tblGrid>
        <w:gridCol w:w="5807"/>
        <w:gridCol w:w="3255"/>
      </w:tblGrid>
      <w:tr w:rsidR="00FD563B" w:rsidRPr="008446DD" w14:paraId="0B4470A1" w14:textId="77777777" w:rsidTr="000C3564">
        <w:tc>
          <w:tcPr>
            <w:tcW w:w="5807" w:type="dxa"/>
          </w:tcPr>
          <w:p w14:paraId="6AF42B80" w14:textId="5EA3C946" w:rsidR="00FD563B" w:rsidRPr="008446DD" w:rsidRDefault="00945FAA" w:rsidP="000C3564">
            <w:pPr>
              <w:tabs>
                <w:tab w:val="left" w:pos="3772"/>
              </w:tabs>
              <w:spacing w:line="288" w:lineRule="auto"/>
              <w:jc w:val="center"/>
              <w:rPr>
                <w:rFonts w:asciiTheme="majorHAnsi" w:hAnsiTheme="majorHAnsi" w:cstheme="majorHAnsi"/>
                <w:b/>
                <w:sz w:val="24"/>
                <w:szCs w:val="24"/>
              </w:rPr>
            </w:pPr>
            <w:r>
              <w:rPr>
                <w:rFonts w:asciiTheme="majorHAnsi" w:hAnsiTheme="majorHAnsi" w:cstheme="majorHAnsi"/>
                <w:b/>
                <w:sz w:val="24"/>
                <w:szCs w:val="24"/>
              </w:rPr>
              <w:t>A</w:t>
            </w:r>
            <w:r w:rsidR="00FD563B" w:rsidRPr="008446DD">
              <w:rPr>
                <w:rFonts w:asciiTheme="majorHAnsi" w:hAnsiTheme="majorHAnsi" w:cstheme="majorHAnsi"/>
                <w:b/>
                <w:sz w:val="24"/>
                <w:szCs w:val="24"/>
              </w:rPr>
              <w:t>ctivities</w:t>
            </w:r>
          </w:p>
        </w:tc>
        <w:tc>
          <w:tcPr>
            <w:tcW w:w="3255" w:type="dxa"/>
          </w:tcPr>
          <w:p w14:paraId="3435B3EE" w14:textId="32295C3A" w:rsidR="00FD563B" w:rsidRPr="008446DD" w:rsidRDefault="00945FAA" w:rsidP="000C3564">
            <w:pPr>
              <w:tabs>
                <w:tab w:val="left" w:pos="3772"/>
              </w:tabs>
              <w:spacing w:line="288" w:lineRule="auto"/>
              <w:jc w:val="center"/>
              <w:rPr>
                <w:rFonts w:asciiTheme="majorHAnsi" w:hAnsiTheme="majorHAnsi" w:cstheme="majorHAnsi"/>
                <w:b/>
                <w:sz w:val="24"/>
                <w:szCs w:val="24"/>
              </w:rPr>
            </w:pPr>
            <w:r>
              <w:rPr>
                <w:rFonts w:asciiTheme="majorHAnsi" w:hAnsiTheme="majorHAnsi" w:cstheme="majorHAnsi"/>
                <w:b/>
                <w:sz w:val="24"/>
                <w:szCs w:val="24"/>
              </w:rPr>
              <w:t>Number</w:t>
            </w:r>
            <w:r w:rsidR="00FD563B" w:rsidRPr="008446DD">
              <w:rPr>
                <w:rFonts w:asciiTheme="majorHAnsi" w:hAnsiTheme="majorHAnsi" w:cstheme="majorHAnsi"/>
                <w:b/>
                <w:sz w:val="24"/>
                <w:szCs w:val="24"/>
              </w:rPr>
              <w:t xml:space="preserve"> of </w:t>
            </w:r>
            <w:proofErr w:type="spellStart"/>
            <w:r w:rsidR="00FD563B" w:rsidRPr="008446DD">
              <w:rPr>
                <w:rFonts w:asciiTheme="majorHAnsi" w:hAnsiTheme="majorHAnsi" w:cstheme="majorHAnsi"/>
                <w:b/>
                <w:sz w:val="24"/>
                <w:szCs w:val="24"/>
              </w:rPr>
              <w:t>days</w:t>
            </w:r>
            <w:proofErr w:type="spellEnd"/>
          </w:p>
        </w:tc>
      </w:tr>
      <w:tr w:rsidR="00FD563B" w14:paraId="71AF93EB" w14:textId="77777777" w:rsidTr="000C3564">
        <w:tc>
          <w:tcPr>
            <w:tcW w:w="5807" w:type="dxa"/>
          </w:tcPr>
          <w:p w14:paraId="5BA188AF" w14:textId="77777777" w:rsidR="00FD563B" w:rsidRPr="00F942D3" w:rsidRDefault="00FD563B" w:rsidP="000C3564">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Primary data collection on the standards of China, Gabon and the EU in sustainable forest management and responsible timber trade</w:t>
            </w:r>
          </w:p>
        </w:tc>
        <w:tc>
          <w:tcPr>
            <w:tcW w:w="3255" w:type="dxa"/>
          </w:tcPr>
          <w:p w14:paraId="5F058441" w14:textId="19BAB4CD" w:rsidR="00FD563B" w:rsidRDefault="000F17E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5</w:t>
            </w:r>
          </w:p>
        </w:tc>
      </w:tr>
      <w:tr w:rsidR="00FD563B" w14:paraId="08DBDBBA" w14:textId="77777777" w:rsidTr="000C3564">
        <w:tc>
          <w:tcPr>
            <w:tcW w:w="5807" w:type="dxa"/>
          </w:tcPr>
          <w:p w14:paraId="77CA8432" w14:textId="31BCFA90" w:rsidR="00FD563B" w:rsidRPr="00F942D3" w:rsidRDefault="00945FAA" w:rsidP="000C3564">
            <w:pPr>
              <w:tabs>
                <w:tab w:val="left" w:pos="3772"/>
              </w:tabs>
              <w:spacing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Production and submission of the preliminary report</w:t>
            </w:r>
          </w:p>
        </w:tc>
        <w:tc>
          <w:tcPr>
            <w:tcW w:w="3255" w:type="dxa"/>
          </w:tcPr>
          <w:p w14:paraId="2F3E6CAC" w14:textId="4500902B" w:rsidR="00FD563B" w:rsidRDefault="000F17E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2</w:t>
            </w:r>
          </w:p>
        </w:tc>
      </w:tr>
      <w:tr w:rsidR="00FD563B" w14:paraId="289FDFAD" w14:textId="77777777" w:rsidTr="000C3564">
        <w:tc>
          <w:tcPr>
            <w:tcW w:w="5807" w:type="dxa"/>
          </w:tcPr>
          <w:p w14:paraId="75892EDB" w14:textId="77777777" w:rsidR="00FD563B" w:rsidRDefault="00FD563B" w:rsidP="000C3564">
            <w:pPr>
              <w:tabs>
                <w:tab w:val="left" w:pos="3772"/>
              </w:tabs>
              <w:spacing w:line="288" w:lineRule="auto"/>
              <w:jc w:val="both"/>
              <w:rPr>
                <w:rFonts w:asciiTheme="majorHAnsi" w:hAnsiTheme="majorHAnsi" w:cstheme="majorHAnsi"/>
                <w:sz w:val="24"/>
                <w:szCs w:val="24"/>
              </w:rPr>
            </w:pPr>
            <w:r>
              <w:rPr>
                <w:rFonts w:asciiTheme="majorHAnsi" w:hAnsiTheme="majorHAnsi" w:cstheme="majorHAnsi"/>
                <w:sz w:val="24"/>
                <w:szCs w:val="24"/>
              </w:rPr>
              <w:t>Return trip to Gabon</w:t>
            </w:r>
          </w:p>
        </w:tc>
        <w:tc>
          <w:tcPr>
            <w:tcW w:w="3255" w:type="dxa"/>
          </w:tcPr>
          <w:p w14:paraId="2AD781EB" w14:textId="77777777" w:rsidR="00FD563B" w:rsidRDefault="00FD563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1</w:t>
            </w:r>
          </w:p>
        </w:tc>
      </w:tr>
      <w:tr w:rsidR="00FD563B" w14:paraId="72144B51" w14:textId="77777777" w:rsidTr="000C3564">
        <w:tc>
          <w:tcPr>
            <w:tcW w:w="5807" w:type="dxa"/>
          </w:tcPr>
          <w:p w14:paraId="1854B862" w14:textId="41C4341A" w:rsidR="00FD563B" w:rsidRPr="00F942D3" w:rsidRDefault="00FD563B" w:rsidP="000C3564">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Briefing Meeting with </w:t>
            </w:r>
            <w:r w:rsidR="00945FAA">
              <w:rPr>
                <w:rFonts w:asciiTheme="majorHAnsi" w:hAnsiTheme="majorHAnsi" w:cstheme="majorHAnsi"/>
                <w:sz w:val="24"/>
                <w:szCs w:val="24"/>
                <w:lang w:val="en-US"/>
              </w:rPr>
              <w:t>WWF-Gabon</w:t>
            </w:r>
            <w:r w:rsidRPr="00F942D3">
              <w:rPr>
                <w:rFonts w:asciiTheme="majorHAnsi" w:hAnsiTheme="majorHAnsi" w:cstheme="majorHAnsi"/>
                <w:sz w:val="24"/>
                <w:szCs w:val="24"/>
                <w:lang w:val="en-US"/>
              </w:rPr>
              <w:t xml:space="preserve"> team</w:t>
            </w:r>
          </w:p>
        </w:tc>
        <w:tc>
          <w:tcPr>
            <w:tcW w:w="3255" w:type="dxa"/>
          </w:tcPr>
          <w:p w14:paraId="0532347D" w14:textId="77777777" w:rsidR="00FD563B" w:rsidRDefault="00FD563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1</w:t>
            </w:r>
          </w:p>
        </w:tc>
      </w:tr>
      <w:tr w:rsidR="00FD563B" w14:paraId="19546D6D" w14:textId="77777777" w:rsidTr="000C3564">
        <w:tc>
          <w:tcPr>
            <w:tcW w:w="5807" w:type="dxa"/>
          </w:tcPr>
          <w:p w14:paraId="0F9A4D34" w14:textId="77777777" w:rsidR="00FD563B" w:rsidRPr="00F942D3" w:rsidRDefault="00FD563B" w:rsidP="000C3564">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Finalization of discussions with key stakeholders (Gabon)</w:t>
            </w:r>
          </w:p>
        </w:tc>
        <w:tc>
          <w:tcPr>
            <w:tcW w:w="3255" w:type="dxa"/>
          </w:tcPr>
          <w:p w14:paraId="2D907139" w14:textId="77777777" w:rsidR="00FD563B" w:rsidRDefault="00FD563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3</w:t>
            </w:r>
          </w:p>
        </w:tc>
      </w:tr>
      <w:tr w:rsidR="00FD563B" w14:paraId="5D9A967F" w14:textId="77777777" w:rsidTr="000C3564">
        <w:tc>
          <w:tcPr>
            <w:tcW w:w="5807" w:type="dxa"/>
          </w:tcPr>
          <w:p w14:paraId="72E610B2" w14:textId="77777777" w:rsidR="00FD563B" w:rsidRPr="00F942D3" w:rsidRDefault="00FD563B" w:rsidP="000C3564">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Finalization of the report (Gabon)</w:t>
            </w:r>
          </w:p>
        </w:tc>
        <w:tc>
          <w:tcPr>
            <w:tcW w:w="3255" w:type="dxa"/>
          </w:tcPr>
          <w:p w14:paraId="7F1B83C2" w14:textId="182CFE7C" w:rsidR="00FD563B" w:rsidRDefault="0092093E"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2</w:t>
            </w:r>
          </w:p>
        </w:tc>
      </w:tr>
      <w:tr w:rsidR="00FD563B" w14:paraId="2322B1FC" w14:textId="77777777" w:rsidTr="000C3564">
        <w:tc>
          <w:tcPr>
            <w:tcW w:w="5807" w:type="dxa"/>
          </w:tcPr>
          <w:p w14:paraId="0E8C6B12" w14:textId="77777777" w:rsidR="00FD563B" w:rsidRPr="00F942D3" w:rsidRDefault="00FD563B" w:rsidP="000C3564">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Validation meeting of the finalized report (Gabon)</w:t>
            </w:r>
          </w:p>
        </w:tc>
        <w:tc>
          <w:tcPr>
            <w:tcW w:w="3255" w:type="dxa"/>
          </w:tcPr>
          <w:p w14:paraId="3BF4385A" w14:textId="77777777" w:rsidR="00FD563B" w:rsidRDefault="00FD563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1</w:t>
            </w:r>
          </w:p>
        </w:tc>
      </w:tr>
      <w:tr w:rsidR="00FD563B" w14:paraId="7CD7159A" w14:textId="77777777" w:rsidTr="000C3564">
        <w:tc>
          <w:tcPr>
            <w:tcW w:w="5807" w:type="dxa"/>
          </w:tcPr>
          <w:p w14:paraId="0512C97F" w14:textId="77777777" w:rsidR="00FD563B" w:rsidRDefault="00FD563B" w:rsidP="000C3564">
            <w:pPr>
              <w:tabs>
                <w:tab w:val="left" w:pos="3772"/>
              </w:tabs>
              <w:spacing w:line="288" w:lineRule="auto"/>
              <w:jc w:val="both"/>
              <w:rPr>
                <w:rFonts w:asciiTheme="majorHAnsi" w:hAnsiTheme="majorHAnsi" w:cstheme="majorHAnsi"/>
                <w:sz w:val="24"/>
                <w:szCs w:val="24"/>
              </w:rPr>
            </w:pPr>
            <w:r>
              <w:rPr>
                <w:rFonts w:asciiTheme="majorHAnsi" w:hAnsiTheme="majorHAnsi" w:cstheme="majorHAnsi"/>
                <w:sz w:val="24"/>
                <w:szCs w:val="24"/>
              </w:rPr>
              <w:t>Total</w:t>
            </w:r>
          </w:p>
        </w:tc>
        <w:tc>
          <w:tcPr>
            <w:tcW w:w="3255" w:type="dxa"/>
          </w:tcPr>
          <w:p w14:paraId="3CC8C269" w14:textId="5870B39A" w:rsidR="00FD563B" w:rsidRDefault="000F17EB" w:rsidP="000C3564">
            <w:pPr>
              <w:tabs>
                <w:tab w:val="left" w:pos="3772"/>
              </w:tabs>
              <w:spacing w:line="288" w:lineRule="auto"/>
              <w:jc w:val="center"/>
              <w:rPr>
                <w:rFonts w:asciiTheme="majorHAnsi" w:hAnsiTheme="majorHAnsi" w:cstheme="majorHAnsi"/>
                <w:sz w:val="24"/>
                <w:szCs w:val="24"/>
              </w:rPr>
            </w:pPr>
            <w:r>
              <w:rPr>
                <w:rFonts w:asciiTheme="majorHAnsi" w:hAnsiTheme="majorHAnsi" w:cstheme="majorHAnsi"/>
                <w:sz w:val="24"/>
                <w:szCs w:val="24"/>
              </w:rPr>
              <w:t>15</w:t>
            </w:r>
          </w:p>
        </w:tc>
      </w:tr>
    </w:tbl>
    <w:p w14:paraId="1014C0FC" w14:textId="77777777" w:rsidR="003D4AFD" w:rsidRPr="003D4AFD" w:rsidRDefault="003D4AFD" w:rsidP="003D4AFD">
      <w:pPr>
        <w:jc w:val="both"/>
        <w:rPr>
          <w:rFonts w:asciiTheme="majorHAnsi" w:hAnsiTheme="majorHAnsi" w:cstheme="majorHAnsi"/>
          <w:sz w:val="24"/>
          <w:szCs w:val="24"/>
        </w:rPr>
      </w:pPr>
    </w:p>
    <w:p w14:paraId="0282C134" w14:textId="1423AA7F" w:rsidR="002C5DF5" w:rsidRPr="005E4996" w:rsidRDefault="00945FAA" w:rsidP="004A77D2">
      <w:pPr>
        <w:tabs>
          <w:tab w:val="left" w:pos="3772"/>
        </w:tabs>
        <w:spacing w:after="0" w:line="288" w:lineRule="auto"/>
        <w:jc w:val="both"/>
        <w:rPr>
          <w:rFonts w:asciiTheme="majorHAnsi" w:hAnsiTheme="majorHAnsi" w:cstheme="majorHAnsi"/>
          <w:b/>
          <w:sz w:val="24"/>
          <w:szCs w:val="24"/>
        </w:rPr>
      </w:pPr>
      <w:proofErr w:type="spellStart"/>
      <w:r>
        <w:rPr>
          <w:rFonts w:asciiTheme="majorHAnsi" w:hAnsiTheme="majorHAnsi" w:cstheme="majorHAnsi"/>
          <w:b/>
          <w:sz w:val="24"/>
          <w:szCs w:val="24"/>
        </w:rPr>
        <w:t>D</w:t>
      </w:r>
      <w:r w:rsidR="002C5DF5" w:rsidRPr="005E4996">
        <w:rPr>
          <w:rFonts w:asciiTheme="majorHAnsi" w:hAnsiTheme="majorHAnsi" w:cstheme="majorHAnsi"/>
          <w:b/>
          <w:sz w:val="24"/>
          <w:szCs w:val="24"/>
        </w:rPr>
        <w:t>eliverables</w:t>
      </w:r>
      <w:proofErr w:type="spellEnd"/>
    </w:p>
    <w:p w14:paraId="6D3A9CCA" w14:textId="77777777" w:rsidR="002C5DF5" w:rsidRPr="00F942D3" w:rsidRDefault="002C5DF5" w:rsidP="003023EB">
      <w:p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The successful consultant will provide:</w:t>
      </w:r>
    </w:p>
    <w:p w14:paraId="7C9DD45D" w14:textId="39A7724F" w:rsidR="002C5DF5" w:rsidRPr="00F942D3" w:rsidRDefault="002C5DF5" w:rsidP="00E23049">
      <w:pPr>
        <w:pStyle w:val="Paragraphedeliste"/>
        <w:numPr>
          <w:ilvl w:val="0"/>
          <w:numId w:val="2"/>
        </w:num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A preliminary report outlining the methodology, </w:t>
      </w:r>
      <w:r w:rsidR="00945FAA">
        <w:rPr>
          <w:rFonts w:asciiTheme="majorHAnsi" w:hAnsiTheme="majorHAnsi" w:cstheme="majorHAnsi"/>
          <w:sz w:val="24"/>
          <w:szCs w:val="24"/>
          <w:lang w:val="en-US"/>
        </w:rPr>
        <w:t>sources of information</w:t>
      </w:r>
      <w:r w:rsidRPr="00F942D3">
        <w:rPr>
          <w:rFonts w:asciiTheme="majorHAnsi" w:hAnsiTheme="majorHAnsi" w:cstheme="majorHAnsi"/>
          <w:sz w:val="24"/>
          <w:szCs w:val="24"/>
          <w:lang w:val="en-US"/>
        </w:rPr>
        <w:t xml:space="preserve"> and the main results achieved in connection with the objectives of the study;</w:t>
      </w:r>
    </w:p>
    <w:p w14:paraId="4DE8E29B" w14:textId="77777777" w:rsidR="00A276FA" w:rsidRPr="00F942D3" w:rsidRDefault="005E4996" w:rsidP="00BC5A93">
      <w:pPr>
        <w:pStyle w:val="Paragraphedeliste"/>
        <w:numPr>
          <w:ilvl w:val="0"/>
          <w:numId w:val="2"/>
        </w:num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A consolidated final report of the study.</w:t>
      </w:r>
    </w:p>
    <w:p w14:paraId="7A4A20A8" w14:textId="616B4A5E" w:rsidR="005E4996" w:rsidRPr="00F942D3" w:rsidRDefault="00945FAA" w:rsidP="00BC5A93">
      <w:pPr>
        <w:tabs>
          <w:tab w:val="left" w:pos="3772"/>
        </w:tabs>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Reporting format</w:t>
      </w:r>
    </w:p>
    <w:p w14:paraId="08D3D0C2" w14:textId="2755795D" w:rsidR="005E4996" w:rsidRPr="00F942D3" w:rsidRDefault="005E4996" w:rsidP="00BC5A93">
      <w:pPr>
        <w:tabs>
          <w:tab w:val="left" w:pos="3772"/>
        </w:tabs>
        <w:spacing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All reports, </w:t>
      </w:r>
      <w:r w:rsidR="00945FAA">
        <w:rPr>
          <w:rFonts w:asciiTheme="majorHAnsi" w:hAnsiTheme="majorHAnsi" w:cstheme="majorHAnsi"/>
          <w:sz w:val="24"/>
          <w:szCs w:val="24"/>
          <w:lang w:val="en-US"/>
        </w:rPr>
        <w:t>notes</w:t>
      </w:r>
      <w:r w:rsidRPr="00F942D3">
        <w:rPr>
          <w:rFonts w:asciiTheme="majorHAnsi" w:hAnsiTheme="majorHAnsi" w:cstheme="majorHAnsi"/>
          <w:sz w:val="24"/>
          <w:szCs w:val="24"/>
          <w:lang w:val="en-US"/>
        </w:rPr>
        <w:t xml:space="preserve"> and other documents prepared by the consultant will be written in French, with </w:t>
      </w:r>
      <w:r w:rsidR="00945FAA">
        <w:rPr>
          <w:rFonts w:asciiTheme="majorHAnsi" w:hAnsiTheme="majorHAnsi" w:cstheme="majorHAnsi"/>
          <w:sz w:val="24"/>
          <w:szCs w:val="24"/>
          <w:lang w:val="en-US"/>
        </w:rPr>
        <w:t>a summary in English</w:t>
      </w:r>
      <w:r w:rsidRPr="00F942D3">
        <w:rPr>
          <w:rFonts w:asciiTheme="majorHAnsi" w:hAnsiTheme="majorHAnsi" w:cstheme="majorHAnsi"/>
          <w:sz w:val="24"/>
          <w:szCs w:val="24"/>
          <w:lang w:val="en-US"/>
        </w:rPr>
        <w:t xml:space="preserve">. The </w:t>
      </w:r>
      <w:r w:rsidR="00945FAA">
        <w:rPr>
          <w:rFonts w:asciiTheme="majorHAnsi" w:hAnsiTheme="majorHAnsi" w:cstheme="majorHAnsi"/>
          <w:sz w:val="24"/>
          <w:szCs w:val="24"/>
          <w:lang w:val="en-US"/>
        </w:rPr>
        <w:t>documents to be filed</w:t>
      </w:r>
      <w:r w:rsidRPr="00F942D3">
        <w:rPr>
          <w:rFonts w:asciiTheme="majorHAnsi" w:hAnsiTheme="majorHAnsi" w:cstheme="majorHAnsi"/>
          <w:sz w:val="24"/>
          <w:szCs w:val="24"/>
          <w:lang w:val="en-US"/>
        </w:rPr>
        <w:t xml:space="preserve"> </w:t>
      </w:r>
      <w:r w:rsidR="00945FAA">
        <w:rPr>
          <w:rFonts w:asciiTheme="majorHAnsi" w:hAnsiTheme="majorHAnsi" w:cstheme="majorHAnsi"/>
          <w:sz w:val="24"/>
          <w:szCs w:val="24"/>
          <w:lang w:val="en-US"/>
        </w:rPr>
        <w:t>will be presented in a printed format</w:t>
      </w:r>
      <w:r w:rsidRPr="00F942D3">
        <w:rPr>
          <w:rFonts w:asciiTheme="majorHAnsi" w:hAnsiTheme="majorHAnsi" w:cstheme="majorHAnsi"/>
          <w:sz w:val="24"/>
          <w:szCs w:val="24"/>
          <w:lang w:val="en-US"/>
        </w:rPr>
        <w:t xml:space="preserve"> and electronically in Word, Excel and/or PowerPoint.</w:t>
      </w:r>
    </w:p>
    <w:p w14:paraId="40FC628A" w14:textId="53A75FEE" w:rsidR="005E4996" w:rsidRPr="00F942D3" w:rsidRDefault="005E4996" w:rsidP="00BC5A93">
      <w:pPr>
        <w:tabs>
          <w:tab w:val="left" w:pos="3772"/>
        </w:tabs>
        <w:spacing w:after="0" w:line="288" w:lineRule="auto"/>
        <w:jc w:val="both"/>
        <w:rPr>
          <w:rFonts w:asciiTheme="majorHAnsi" w:hAnsiTheme="majorHAnsi" w:cstheme="majorHAnsi"/>
          <w:b/>
          <w:sz w:val="24"/>
          <w:szCs w:val="24"/>
          <w:lang w:val="en-US"/>
        </w:rPr>
      </w:pPr>
      <w:r w:rsidRPr="00F942D3">
        <w:rPr>
          <w:rFonts w:asciiTheme="majorHAnsi" w:hAnsiTheme="majorHAnsi" w:cstheme="majorHAnsi"/>
          <w:b/>
          <w:sz w:val="24"/>
          <w:szCs w:val="24"/>
          <w:lang w:val="en-US"/>
        </w:rPr>
        <w:t xml:space="preserve">Qualifications </w:t>
      </w:r>
      <w:r w:rsidR="00945FAA">
        <w:rPr>
          <w:rFonts w:asciiTheme="majorHAnsi" w:hAnsiTheme="majorHAnsi" w:cstheme="majorHAnsi"/>
          <w:b/>
          <w:sz w:val="24"/>
          <w:szCs w:val="24"/>
          <w:lang w:val="en-US"/>
        </w:rPr>
        <w:t>of the c</w:t>
      </w:r>
      <w:r w:rsidRPr="00F942D3">
        <w:rPr>
          <w:rFonts w:asciiTheme="majorHAnsi" w:hAnsiTheme="majorHAnsi" w:cstheme="majorHAnsi"/>
          <w:b/>
          <w:sz w:val="24"/>
          <w:szCs w:val="24"/>
          <w:lang w:val="en-US"/>
        </w:rPr>
        <w:t>onsultant</w:t>
      </w:r>
    </w:p>
    <w:p w14:paraId="2D5D2D96" w14:textId="77777777" w:rsidR="00561368" w:rsidRPr="00F942D3" w:rsidRDefault="005E4996" w:rsidP="00BC5A93">
      <w:p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The consultant must meet the following requirements:</w:t>
      </w:r>
    </w:p>
    <w:p w14:paraId="6AAAAB15" w14:textId="722DFD0A" w:rsidR="00561368" w:rsidRPr="00F942D3" w:rsidRDefault="00945FAA" w:rsidP="00E23049">
      <w:pPr>
        <w:pStyle w:val="Paragraphedeliste"/>
        <w:numPr>
          <w:ilvl w:val="0"/>
          <w:numId w:val="2"/>
        </w:numPr>
        <w:tabs>
          <w:tab w:val="left" w:pos="3772"/>
        </w:tabs>
        <w:spacing w:after="0"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Have at least a</w:t>
      </w:r>
      <w:r w:rsidR="000F17EB">
        <w:rPr>
          <w:rFonts w:asciiTheme="majorHAnsi" w:hAnsiTheme="majorHAnsi" w:cstheme="majorHAnsi"/>
          <w:sz w:val="24"/>
          <w:szCs w:val="24"/>
          <w:lang w:val="en-US"/>
        </w:rPr>
        <w:t xml:space="preserve"> Master</w:t>
      </w:r>
      <w:r w:rsidR="00561368" w:rsidRPr="00F942D3">
        <w:rPr>
          <w:rFonts w:asciiTheme="majorHAnsi" w:hAnsiTheme="majorHAnsi" w:cstheme="majorHAnsi"/>
          <w:sz w:val="24"/>
          <w:szCs w:val="24"/>
          <w:lang w:val="en-US"/>
        </w:rPr>
        <w:t xml:space="preserve"> or an MBA in at least one of the following areas: economics, socio-economics, international trade, international environmental law, natural resources management;</w:t>
      </w:r>
    </w:p>
    <w:p w14:paraId="30722B6F" w14:textId="09E10497" w:rsidR="00561368" w:rsidRPr="00F942D3" w:rsidRDefault="005E4996" w:rsidP="00E23049">
      <w:pPr>
        <w:pStyle w:val="Paragraphedeliste"/>
        <w:numPr>
          <w:ilvl w:val="0"/>
          <w:numId w:val="2"/>
        </w:num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Hav</w:t>
      </w:r>
      <w:r w:rsidR="00945FAA">
        <w:rPr>
          <w:rFonts w:asciiTheme="majorHAnsi" w:hAnsiTheme="majorHAnsi" w:cstheme="majorHAnsi"/>
          <w:sz w:val="24"/>
          <w:szCs w:val="24"/>
          <w:lang w:val="en-US"/>
        </w:rPr>
        <w:t>e</w:t>
      </w:r>
      <w:r w:rsidRPr="00F942D3">
        <w:rPr>
          <w:rFonts w:asciiTheme="majorHAnsi" w:hAnsiTheme="majorHAnsi" w:cstheme="majorHAnsi"/>
          <w:sz w:val="24"/>
          <w:szCs w:val="24"/>
          <w:lang w:val="en-US"/>
        </w:rPr>
        <w:t xml:space="preserve"> a good knowledge of the context of </w:t>
      </w:r>
      <w:r w:rsidR="001C37FD">
        <w:rPr>
          <w:rFonts w:asciiTheme="majorHAnsi" w:hAnsiTheme="majorHAnsi" w:cstheme="majorHAnsi"/>
          <w:sz w:val="24"/>
          <w:szCs w:val="24"/>
          <w:lang w:val="en-US"/>
        </w:rPr>
        <w:t>timber trade</w:t>
      </w:r>
      <w:r w:rsidRPr="00F942D3">
        <w:rPr>
          <w:rFonts w:asciiTheme="majorHAnsi" w:hAnsiTheme="majorHAnsi" w:cstheme="majorHAnsi"/>
          <w:sz w:val="24"/>
          <w:szCs w:val="24"/>
          <w:lang w:val="en-US"/>
        </w:rPr>
        <w:t xml:space="preserve"> between China and the European Union as well as</w:t>
      </w:r>
      <w:r w:rsidR="001C37FD">
        <w:rPr>
          <w:rFonts w:asciiTheme="majorHAnsi" w:hAnsiTheme="majorHAnsi" w:cstheme="majorHAnsi"/>
          <w:sz w:val="24"/>
          <w:szCs w:val="24"/>
          <w:lang w:val="en-US"/>
        </w:rPr>
        <w:t xml:space="preserve"> the</w:t>
      </w:r>
      <w:r w:rsidRPr="00F942D3">
        <w:rPr>
          <w:rFonts w:asciiTheme="majorHAnsi" w:hAnsiTheme="majorHAnsi" w:cstheme="majorHAnsi"/>
          <w:sz w:val="24"/>
          <w:szCs w:val="24"/>
          <w:lang w:val="en-US"/>
        </w:rPr>
        <w:t xml:space="preserve"> legal</w:t>
      </w:r>
      <w:r w:rsidR="001C37FD">
        <w:rPr>
          <w:rFonts w:asciiTheme="majorHAnsi" w:hAnsiTheme="majorHAnsi" w:cstheme="majorHAnsi"/>
          <w:sz w:val="24"/>
          <w:szCs w:val="24"/>
          <w:lang w:val="en-US"/>
        </w:rPr>
        <w:t xml:space="preserve"> </w:t>
      </w:r>
      <w:r w:rsidRPr="00F942D3">
        <w:rPr>
          <w:rFonts w:asciiTheme="majorHAnsi" w:hAnsiTheme="majorHAnsi" w:cstheme="majorHAnsi"/>
          <w:sz w:val="24"/>
          <w:szCs w:val="24"/>
          <w:lang w:val="en-US"/>
        </w:rPr>
        <w:t xml:space="preserve">standards in force in Gabon, China and the European Union; </w:t>
      </w:r>
    </w:p>
    <w:p w14:paraId="26F8FCE5" w14:textId="0AC72324" w:rsidR="00561368" w:rsidRPr="00F942D3" w:rsidRDefault="001C37FD" w:rsidP="00E23049">
      <w:pPr>
        <w:pStyle w:val="Paragraphedeliste"/>
        <w:numPr>
          <w:ilvl w:val="0"/>
          <w:numId w:val="2"/>
        </w:numPr>
        <w:tabs>
          <w:tab w:val="left" w:pos="3772"/>
        </w:tabs>
        <w:spacing w:after="0"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Have d</w:t>
      </w:r>
      <w:r w:rsidR="00561368" w:rsidRPr="00F942D3">
        <w:rPr>
          <w:rFonts w:asciiTheme="majorHAnsi" w:hAnsiTheme="majorHAnsi" w:cstheme="majorHAnsi"/>
          <w:sz w:val="24"/>
          <w:szCs w:val="24"/>
          <w:lang w:val="en-US"/>
        </w:rPr>
        <w:t xml:space="preserve">emonstrated experience in the comparative analysis of legal frameworks in forestry or a related sector; </w:t>
      </w:r>
    </w:p>
    <w:p w14:paraId="13C61C07" w14:textId="50289085" w:rsidR="00135A67" w:rsidRPr="00F942D3" w:rsidRDefault="001C37FD" w:rsidP="00BC5A93">
      <w:pPr>
        <w:pStyle w:val="Paragraphedeliste"/>
        <w:numPr>
          <w:ilvl w:val="0"/>
          <w:numId w:val="2"/>
        </w:numPr>
        <w:tabs>
          <w:tab w:val="left" w:pos="3772"/>
        </w:tabs>
        <w:spacing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Be able</w:t>
      </w:r>
      <w:r w:rsidR="00561368" w:rsidRPr="00F942D3">
        <w:rPr>
          <w:rFonts w:asciiTheme="majorHAnsi" w:hAnsiTheme="majorHAnsi" w:cstheme="majorHAnsi"/>
          <w:sz w:val="24"/>
          <w:szCs w:val="24"/>
          <w:lang w:val="en-US"/>
        </w:rPr>
        <w:t xml:space="preserve"> to communicate and write in English.</w:t>
      </w:r>
    </w:p>
    <w:p w14:paraId="200D80EA" w14:textId="7250B5B1" w:rsidR="00A276FA" w:rsidRPr="00F942D3" w:rsidRDefault="001C37FD" w:rsidP="00BC5A93">
      <w:pPr>
        <w:tabs>
          <w:tab w:val="left" w:pos="3772"/>
        </w:tabs>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How to apply</w:t>
      </w:r>
    </w:p>
    <w:p w14:paraId="41175CB0" w14:textId="77777777" w:rsidR="00A276FA" w:rsidRPr="00F942D3" w:rsidRDefault="00A276FA" w:rsidP="00BC5A93">
      <w:p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The application must contain:</w:t>
      </w:r>
    </w:p>
    <w:p w14:paraId="384B90F2" w14:textId="1EED575E" w:rsidR="00A276FA" w:rsidRPr="00F942D3" w:rsidRDefault="00A276FA" w:rsidP="00A276FA">
      <w:pPr>
        <w:pStyle w:val="Paragraphedeliste"/>
        <w:numPr>
          <w:ilvl w:val="0"/>
          <w:numId w:val="5"/>
        </w:num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lastRenderedPageBreak/>
        <w:t>A technical proposal detailing the understanding of the mission, methodology, activities to perform, the timing of the study;</w:t>
      </w:r>
    </w:p>
    <w:p w14:paraId="460478EB" w14:textId="77777777" w:rsidR="00A276FA" w:rsidRPr="00A276FA" w:rsidRDefault="00A276FA" w:rsidP="00A276FA">
      <w:pPr>
        <w:pStyle w:val="Paragraphedeliste"/>
        <w:numPr>
          <w:ilvl w:val="0"/>
          <w:numId w:val="4"/>
        </w:numPr>
        <w:tabs>
          <w:tab w:val="left" w:pos="3772"/>
        </w:tabs>
        <w:spacing w:after="0" w:line="288" w:lineRule="auto"/>
        <w:jc w:val="both"/>
        <w:rPr>
          <w:rFonts w:asciiTheme="majorHAnsi" w:hAnsiTheme="majorHAnsi" w:cstheme="majorHAnsi"/>
          <w:sz w:val="24"/>
          <w:szCs w:val="24"/>
        </w:rPr>
      </w:pPr>
      <w:r w:rsidRPr="00A276FA">
        <w:rPr>
          <w:rFonts w:asciiTheme="majorHAnsi" w:hAnsiTheme="majorHAnsi" w:cstheme="majorHAnsi"/>
          <w:sz w:val="24"/>
          <w:szCs w:val="24"/>
        </w:rPr>
        <w:t xml:space="preserve">A </w:t>
      </w:r>
      <w:proofErr w:type="spellStart"/>
      <w:r w:rsidRPr="00A276FA">
        <w:rPr>
          <w:rFonts w:asciiTheme="majorHAnsi" w:hAnsiTheme="majorHAnsi" w:cstheme="majorHAnsi"/>
          <w:sz w:val="24"/>
          <w:szCs w:val="24"/>
        </w:rPr>
        <w:t>detailed</w:t>
      </w:r>
      <w:proofErr w:type="spellEnd"/>
      <w:r w:rsidRPr="00A276FA">
        <w:rPr>
          <w:rFonts w:asciiTheme="majorHAnsi" w:hAnsiTheme="majorHAnsi" w:cstheme="majorHAnsi"/>
          <w:sz w:val="24"/>
          <w:szCs w:val="24"/>
        </w:rPr>
        <w:t xml:space="preserve"> </w:t>
      </w:r>
      <w:proofErr w:type="spellStart"/>
      <w:r w:rsidRPr="00A276FA">
        <w:rPr>
          <w:rFonts w:asciiTheme="majorHAnsi" w:hAnsiTheme="majorHAnsi" w:cstheme="majorHAnsi"/>
          <w:sz w:val="24"/>
          <w:szCs w:val="24"/>
        </w:rPr>
        <w:t>financial</w:t>
      </w:r>
      <w:proofErr w:type="spellEnd"/>
      <w:r w:rsidRPr="00A276FA">
        <w:rPr>
          <w:rFonts w:asciiTheme="majorHAnsi" w:hAnsiTheme="majorHAnsi" w:cstheme="majorHAnsi"/>
          <w:sz w:val="24"/>
          <w:szCs w:val="24"/>
        </w:rPr>
        <w:t xml:space="preserve"> proposal;</w:t>
      </w:r>
    </w:p>
    <w:p w14:paraId="349FA384" w14:textId="41329B04" w:rsidR="00A276FA" w:rsidRPr="00F942D3" w:rsidRDefault="001C37FD" w:rsidP="00A276FA">
      <w:pPr>
        <w:pStyle w:val="Paragraphedeliste"/>
        <w:numPr>
          <w:ilvl w:val="0"/>
          <w:numId w:val="4"/>
        </w:numPr>
        <w:tabs>
          <w:tab w:val="left" w:pos="3772"/>
        </w:tabs>
        <w:spacing w:after="0" w:line="288" w:lineRule="auto"/>
        <w:jc w:val="both"/>
        <w:rPr>
          <w:rFonts w:asciiTheme="majorHAnsi" w:hAnsiTheme="majorHAnsi" w:cstheme="majorHAnsi"/>
          <w:sz w:val="24"/>
          <w:szCs w:val="24"/>
          <w:lang w:val="en-US"/>
        </w:rPr>
      </w:pPr>
      <w:r w:rsidRPr="001C37FD">
        <w:rPr>
          <w:rFonts w:asciiTheme="majorHAnsi" w:hAnsiTheme="majorHAnsi" w:cstheme="majorHAnsi"/>
          <w:sz w:val="24"/>
          <w:szCs w:val="24"/>
          <w:lang w:val="en-US"/>
        </w:rPr>
        <w:t>½</w:t>
      </w:r>
      <w:r w:rsidR="00A276FA" w:rsidRPr="00F942D3">
        <w:rPr>
          <w:rFonts w:asciiTheme="majorHAnsi" w:hAnsiTheme="majorHAnsi" w:cstheme="majorHAnsi"/>
          <w:sz w:val="24"/>
          <w:szCs w:val="24"/>
          <w:lang w:val="en-US"/>
        </w:rPr>
        <w:t xml:space="preserve"> page</w:t>
      </w:r>
      <w:r>
        <w:rPr>
          <w:rFonts w:asciiTheme="majorHAnsi" w:hAnsiTheme="majorHAnsi" w:cstheme="majorHAnsi"/>
          <w:sz w:val="24"/>
          <w:szCs w:val="24"/>
          <w:lang w:val="en-US"/>
        </w:rPr>
        <w:t xml:space="preserve"> document</w:t>
      </w:r>
      <w:r w:rsidR="00A276FA" w:rsidRPr="00F942D3">
        <w:rPr>
          <w:rFonts w:asciiTheme="majorHAnsi" w:hAnsiTheme="majorHAnsi" w:cstheme="majorHAnsi"/>
          <w:sz w:val="24"/>
          <w:szCs w:val="24"/>
          <w:lang w:val="en-US"/>
        </w:rPr>
        <w:t xml:space="preserve"> that clearly presents the experiences of the consultant with similar missions;</w:t>
      </w:r>
    </w:p>
    <w:p w14:paraId="6B50D81E" w14:textId="54EC71E1" w:rsidR="00A276FA" w:rsidRPr="00F942D3" w:rsidRDefault="00A276FA" w:rsidP="00A276FA">
      <w:pPr>
        <w:pStyle w:val="Paragraphedeliste"/>
        <w:numPr>
          <w:ilvl w:val="0"/>
          <w:numId w:val="4"/>
        </w:numPr>
        <w:tabs>
          <w:tab w:val="left" w:pos="3772"/>
        </w:tabs>
        <w:spacing w:after="0" w:line="288"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A </w:t>
      </w:r>
      <w:r w:rsidR="001C37FD">
        <w:rPr>
          <w:rFonts w:asciiTheme="majorHAnsi" w:hAnsiTheme="majorHAnsi" w:cstheme="majorHAnsi"/>
          <w:sz w:val="24"/>
          <w:szCs w:val="24"/>
          <w:lang w:val="en-US"/>
        </w:rPr>
        <w:t>CV</w:t>
      </w:r>
      <w:r w:rsidRPr="00F942D3">
        <w:rPr>
          <w:rFonts w:asciiTheme="majorHAnsi" w:hAnsiTheme="majorHAnsi" w:cstheme="majorHAnsi"/>
          <w:sz w:val="24"/>
          <w:szCs w:val="24"/>
          <w:lang w:val="en-US"/>
        </w:rPr>
        <w:t xml:space="preserve"> of the consultant (4-5 pages), attached.</w:t>
      </w:r>
    </w:p>
    <w:p w14:paraId="42349726" w14:textId="77777777" w:rsidR="00394B45" w:rsidRDefault="00394B45" w:rsidP="003E31C5">
      <w:pPr>
        <w:pStyle w:val="Default"/>
        <w:spacing w:line="276" w:lineRule="auto"/>
        <w:jc w:val="both"/>
        <w:rPr>
          <w:rFonts w:asciiTheme="majorHAnsi" w:hAnsiTheme="majorHAnsi" w:cstheme="majorHAnsi"/>
          <w:color w:val="auto"/>
          <w:lang w:val="en-US"/>
        </w:rPr>
      </w:pPr>
    </w:p>
    <w:p w14:paraId="3A13EBD3" w14:textId="01CC6287" w:rsidR="001C37FD" w:rsidRDefault="001C37FD" w:rsidP="003E31C5">
      <w:pPr>
        <w:pStyle w:val="Default"/>
        <w:spacing w:line="276" w:lineRule="auto"/>
        <w:jc w:val="both"/>
        <w:rPr>
          <w:rFonts w:asciiTheme="majorHAnsi" w:hAnsiTheme="majorHAnsi" w:cstheme="majorHAnsi"/>
          <w:color w:val="auto"/>
          <w:lang w:val="en-US"/>
        </w:rPr>
      </w:pPr>
      <w:r>
        <w:rPr>
          <w:rFonts w:asciiTheme="majorHAnsi" w:hAnsiTheme="majorHAnsi" w:cstheme="majorHAnsi"/>
          <w:color w:val="auto"/>
          <w:lang w:val="en-US"/>
        </w:rPr>
        <w:t>Completed</w:t>
      </w:r>
      <w:r w:rsidRPr="001C37FD">
        <w:rPr>
          <w:rFonts w:asciiTheme="majorHAnsi" w:hAnsiTheme="majorHAnsi" w:cstheme="majorHAnsi"/>
          <w:color w:val="auto"/>
          <w:lang w:val="en-US"/>
        </w:rPr>
        <w:t xml:space="preserve"> application forms must be submitted no later than </w:t>
      </w:r>
      <w:r w:rsidR="00B26031">
        <w:rPr>
          <w:rFonts w:asciiTheme="majorHAnsi" w:hAnsiTheme="majorHAnsi" w:cstheme="majorHAnsi"/>
          <w:color w:val="auto"/>
          <w:lang w:val="en-US"/>
        </w:rPr>
        <w:t>10</w:t>
      </w:r>
      <w:r w:rsidRPr="001C37FD">
        <w:rPr>
          <w:rFonts w:asciiTheme="majorHAnsi" w:hAnsiTheme="majorHAnsi" w:cstheme="majorHAnsi"/>
          <w:color w:val="auto"/>
          <w:lang w:val="en-US"/>
        </w:rPr>
        <w:t xml:space="preserve"> </w:t>
      </w:r>
      <w:r w:rsidR="000F17EB">
        <w:rPr>
          <w:rFonts w:asciiTheme="majorHAnsi" w:hAnsiTheme="majorHAnsi" w:cstheme="majorHAnsi"/>
          <w:color w:val="auto"/>
          <w:lang w:val="en-US"/>
        </w:rPr>
        <w:t>April</w:t>
      </w:r>
      <w:r w:rsidRPr="001C37FD">
        <w:rPr>
          <w:rFonts w:asciiTheme="majorHAnsi" w:hAnsiTheme="majorHAnsi" w:cstheme="majorHAnsi"/>
          <w:color w:val="auto"/>
          <w:lang w:val="en-US"/>
        </w:rPr>
        <w:t xml:space="preserve"> 2019 to the following address:</w:t>
      </w:r>
    </w:p>
    <w:p w14:paraId="4F3FAD77" w14:textId="77777777" w:rsidR="00394B45" w:rsidRDefault="00394B45" w:rsidP="003E31C5">
      <w:pPr>
        <w:pStyle w:val="Default"/>
        <w:spacing w:line="276" w:lineRule="auto"/>
        <w:jc w:val="both"/>
        <w:rPr>
          <w:rFonts w:asciiTheme="majorHAnsi" w:hAnsiTheme="majorHAnsi" w:cstheme="majorHAnsi"/>
          <w:color w:val="auto"/>
          <w:lang w:val="en-US"/>
        </w:rPr>
      </w:pPr>
    </w:p>
    <w:p w14:paraId="2DC51D9D" w14:textId="3B3B7329" w:rsidR="003E31C5" w:rsidRPr="00B5330E" w:rsidRDefault="003E31C5" w:rsidP="003E31C5">
      <w:pPr>
        <w:pStyle w:val="Default"/>
        <w:spacing w:line="276" w:lineRule="auto"/>
        <w:jc w:val="both"/>
        <w:rPr>
          <w:rFonts w:asciiTheme="majorHAnsi" w:hAnsiTheme="majorHAnsi" w:cstheme="majorHAnsi"/>
          <w:color w:val="auto"/>
          <w:lang w:val="en-US"/>
        </w:rPr>
      </w:pPr>
      <w:r w:rsidRPr="00B5330E">
        <w:rPr>
          <w:rFonts w:asciiTheme="majorHAnsi" w:hAnsiTheme="majorHAnsi" w:cstheme="majorHAnsi"/>
          <w:color w:val="auto"/>
          <w:lang w:val="en-US"/>
        </w:rPr>
        <w:t xml:space="preserve">WWF Regional Office for Africa </w:t>
      </w:r>
      <w:r w:rsidR="007512E7" w:rsidRPr="00B5330E">
        <w:rPr>
          <w:rFonts w:asciiTheme="majorHAnsi" w:hAnsiTheme="majorHAnsi" w:cstheme="majorHAnsi"/>
          <w:color w:val="auto"/>
          <w:lang w:val="en-US"/>
        </w:rPr>
        <w:t>Yaoundé</w:t>
      </w:r>
      <w:r w:rsidRPr="00B5330E">
        <w:rPr>
          <w:rFonts w:asciiTheme="majorHAnsi" w:hAnsiTheme="majorHAnsi" w:cstheme="majorHAnsi"/>
          <w:color w:val="auto"/>
          <w:lang w:val="en-US"/>
        </w:rPr>
        <w:t xml:space="preserve"> Hub</w:t>
      </w:r>
    </w:p>
    <w:p w14:paraId="7E0DD0FF" w14:textId="77777777" w:rsidR="003E31C5" w:rsidRPr="00F942D3" w:rsidRDefault="003E31C5" w:rsidP="003E31C5">
      <w:pPr>
        <w:pStyle w:val="Default"/>
        <w:spacing w:line="276" w:lineRule="auto"/>
        <w:jc w:val="both"/>
        <w:rPr>
          <w:rFonts w:asciiTheme="majorHAnsi" w:hAnsiTheme="majorHAnsi" w:cstheme="majorHAnsi"/>
          <w:color w:val="auto"/>
          <w:lang w:val="en-US"/>
        </w:rPr>
      </w:pPr>
      <w:r w:rsidRPr="00F942D3">
        <w:rPr>
          <w:rFonts w:asciiTheme="majorHAnsi" w:hAnsiTheme="majorHAnsi" w:cstheme="majorHAnsi"/>
          <w:color w:val="auto"/>
          <w:lang w:val="en-US"/>
        </w:rPr>
        <w:t>Gabon Country Office</w:t>
      </w:r>
    </w:p>
    <w:p w14:paraId="7317B2FB" w14:textId="26108D31" w:rsidR="003E31C5" w:rsidRPr="00394B45" w:rsidRDefault="00394B45" w:rsidP="003E31C5">
      <w:pPr>
        <w:pStyle w:val="Default"/>
        <w:spacing w:line="276" w:lineRule="auto"/>
        <w:jc w:val="both"/>
        <w:rPr>
          <w:rFonts w:asciiTheme="majorHAnsi" w:hAnsiTheme="majorHAnsi" w:cstheme="majorHAnsi"/>
          <w:color w:val="auto"/>
        </w:rPr>
      </w:pPr>
      <w:r w:rsidRPr="003E31C5">
        <w:rPr>
          <w:rFonts w:asciiTheme="majorHAnsi" w:hAnsiTheme="majorHAnsi" w:cstheme="majorHAnsi"/>
          <w:color w:val="auto"/>
        </w:rPr>
        <w:t>Montée de Louis</w:t>
      </w:r>
    </w:p>
    <w:p w14:paraId="6F3A3A32" w14:textId="77777777" w:rsidR="003E31C5" w:rsidRPr="003E31C5" w:rsidRDefault="003E31C5" w:rsidP="003E31C5">
      <w:pPr>
        <w:pStyle w:val="Default"/>
        <w:spacing w:line="276" w:lineRule="auto"/>
        <w:jc w:val="both"/>
        <w:rPr>
          <w:rFonts w:asciiTheme="majorHAnsi" w:hAnsiTheme="majorHAnsi" w:cstheme="majorHAnsi"/>
          <w:color w:val="auto"/>
        </w:rPr>
      </w:pPr>
      <w:r w:rsidRPr="003E31C5">
        <w:rPr>
          <w:rFonts w:asciiTheme="majorHAnsi" w:hAnsiTheme="majorHAnsi" w:cstheme="majorHAnsi"/>
          <w:color w:val="auto"/>
        </w:rPr>
        <w:t>BP 9144 Libreville Gabon</w:t>
      </w:r>
      <w:r w:rsidRPr="003E31C5">
        <w:rPr>
          <w:rFonts w:asciiTheme="majorHAnsi" w:hAnsiTheme="majorHAnsi" w:cstheme="majorHAnsi"/>
          <w:color w:val="auto"/>
        </w:rPr>
        <w:tab/>
      </w:r>
      <w:r w:rsidRPr="003E31C5">
        <w:rPr>
          <w:rFonts w:asciiTheme="majorHAnsi" w:hAnsiTheme="majorHAnsi" w:cstheme="majorHAnsi"/>
          <w:color w:val="auto"/>
        </w:rPr>
        <w:tab/>
      </w:r>
    </w:p>
    <w:p w14:paraId="27D7897A" w14:textId="00A28547" w:rsidR="003E31C5" w:rsidRPr="003E31C5" w:rsidRDefault="003E31C5" w:rsidP="003E31C5">
      <w:pPr>
        <w:pStyle w:val="Default"/>
        <w:spacing w:line="276" w:lineRule="auto"/>
        <w:jc w:val="both"/>
        <w:rPr>
          <w:rFonts w:asciiTheme="majorHAnsi" w:hAnsiTheme="majorHAnsi" w:cstheme="majorHAnsi"/>
          <w:color w:val="auto"/>
        </w:rPr>
      </w:pPr>
      <w:r w:rsidRPr="003E31C5">
        <w:rPr>
          <w:rFonts w:asciiTheme="majorHAnsi" w:hAnsiTheme="majorHAnsi" w:cstheme="majorHAnsi"/>
          <w:color w:val="auto"/>
        </w:rPr>
        <w:t>Tel: (241) 01 73 00 28</w:t>
      </w:r>
    </w:p>
    <w:p w14:paraId="2E811E9C" w14:textId="3A3B7C67" w:rsidR="003E31C5" w:rsidRPr="00F942D3" w:rsidRDefault="00394B45" w:rsidP="003E31C5">
      <w:pPr>
        <w:pStyle w:val="Default"/>
        <w:spacing w:line="276" w:lineRule="auto"/>
        <w:jc w:val="both"/>
        <w:rPr>
          <w:rFonts w:asciiTheme="majorHAnsi" w:hAnsiTheme="majorHAnsi" w:cstheme="majorHAnsi"/>
          <w:color w:val="auto"/>
          <w:lang w:val="en-US"/>
        </w:rPr>
      </w:pPr>
      <w:r>
        <w:rPr>
          <w:rFonts w:asciiTheme="majorHAnsi" w:hAnsiTheme="majorHAnsi" w:cstheme="majorHAnsi"/>
          <w:color w:val="auto"/>
          <w:lang w:val="en-US"/>
        </w:rPr>
        <w:t>W</w:t>
      </w:r>
      <w:r w:rsidR="003E31C5" w:rsidRPr="00F942D3">
        <w:rPr>
          <w:rFonts w:asciiTheme="majorHAnsi" w:hAnsiTheme="majorHAnsi" w:cstheme="majorHAnsi"/>
          <w:color w:val="auto"/>
          <w:lang w:val="en-US"/>
        </w:rPr>
        <w:t>ebsite</w:t>
      </w:r>
      <w:proofErr w:type="gramStart"/>
      <w:r w:rsidR="003E31C5" w:rsidRPr="00F942D3">
        <w:rPr>
          <w:rFonts w:asciiTheme="majorHAnsi" w:hAnsiTheme="majorHAnsi" w:cstheme="majorHAnsi"/>
          <w:color w:val="auto"/>
          <w:lang w:val="en-US"/>
        </w:rPr>
        <w:t>:</w:t>
      </w:r>
      <w:proofErr w:type="gramEnd"/>
      <w:hyperlink r:id="rId8" w:history="1">
        <w:r w:rsidR="003E31C5" w:rsidRPr="00F942D3">
          <w:rPr>
            <w:rStyle w:val="Lienhypertexte"/>
            <w:rFonts w:asciiTheme="majorHAnsi" w:hAnsiTheme="majorHAnsi" w:cstheme="majorHAnsi"/>
            <w:lang w:val="en-US"/>
          </w:rPr>
          <w:t>www.panda.org</w:t>
        </w:r>
      </w:hyperlink>
      <w:r w:rsidR="003E31C5" w:rsidRPr="00F942D3">
        <w:rPr>
          <w:rFonts w:asciiTheme="majorHAnsi" w:hAnsiTheme="majorHAnsi" w:cstheme="majorHAnsi"/>
          <w:color w:val="auto"/>
          <w:lang w:val="en-US"/>
        </w:rPr>
        <w:t xml:space="preserve">  </w:t>
      </w:r>
    </w:p>
    <w:p w14:paraId="76630A81" w14:textId="77777777" w:rsidR="001C37FD" w:rsidRDefault="001C37FD" w:rsidP="003E31C5">
      <w:pPr>
        <w:pStyle w:val="Default"/>
        <w:jc w:val="both"/>
        <w:rPr>
          <w:rFonts w:asciiTheme="majorHAnsi" w:hAnsiTheme="majorHAnsi" w:cstheme="majorHAnsi"/>
          <w:color w:val="auto"/>
          <w:lang w:val="en-US"/>
        </w:rPr>
      </w:pPr>
    </w:p>
    <w:p w14:paraId="0EA5E7B3" w14:textId="5ACABF14" w:rsidR="00BC5A93" w:rsidRPr="00F942D3" w:rsidRDefault="00954EA2" w:rsidP="003E31C5">
      <w:pPr>
        <w:pStyle w:val="Default"/>
        <w:jc w:val="both"/>
        <w:rPr>
          <w:rFonts w:asciiTheme="majorHAnsi" w:hAnsiTheme="majorHAnsi" w:cstheme="majorHAnsi"/>
          <w:color w:val="auto"/>
          <w:lang w:val="en-US"/>
        </w:rPr>
      </w:pPr>
      <w:r w:rsidRPr="00F942D3">
        <w:rPr>
          <w:rFonts w:asciiTheme="majorHAnsi" w:hAnsiTheme="majorHAnsi" w:cstheme="majorHAnsi"/>
          <w:color w:val="auto"/>
          <w:lang w:val="en-US"/>
        </w:rPr>
        <w:t xml:space="preserve">Or </w:t>
      </w:r>
      <w:r w:rsidR="001C37FD">
        <w:rPr>
          <w:rFonts w:asciiTheme="majorHAnsi" w:hAnsiTheme="majorHAnsi" w:cstheme="majorHAnsi"/>
          <w:color w:val="auto"/>
          <w:lang w:val="en-US"/>
        </w:rPr>
        <w:t>to</w:t>
      </w:r>
      <w:r w:rsidRPr="00F942D3">
        <w:rPr>
          <w:rFonts w:asciiTheme="majorHAnsi" w:hAnsiTheme="majorHAnsi" w:cstheme="majorHAnsi"/>
          <w:color w:val="auto"/>
          <w:lang w:val="en-US"/>
        </w:rPr>
        <w:t xml:space="preserve"> the email address:</w:t>
      </w:r>
      <w:r w:rsidR="001C37FD">
        <w:rPr>
          <w:rFonts w:asciiTheme="majorHAnsi" w:hAnsiTheme="majorHAnsi" w:cstheme="majorHAnsi"/>
          <w:color w:val="auto"/>
          <w:lang w:val="en-US"/>
        </w:rPr>
        <w:t xml:space="preserve"> </w:t>
      </w:r>
      <w:hyperlink r:id="rId9" w:history="1">
        <w:r w:rsidR="00B26031" w:rsidRPr="005F315D">
          <w:rPr>
            <w:rStyle w:val="Lienhypertexte"/>
            <w:rFonts w:asciiTheme="majorHAnsi" w:hAnsiTheme="majorHAnsi" w:cstheme="majorHAnsi"/>
            <w:lang w:val="en-US"/>
          </w:rPr>
          <w:t>wwfgab@wwfgab.org</w:t>
        </w:r>
      </w:hyperlink>
      <w:r w:rsidR="00B26031">
        <w:rPr>
          <w:rFonts w:asciiTheme="majorHAnsi" w:hAnsiTheme="majorHAnsi" w:cstheme="majorHAnsi"/>
          <w:color w:val="auto"/>
          <w:lang w:val="en-US"/>
        </w:rPr>
        <w:t xml:space="preserve"> </w:t>
      </w:r>
    </w:p>
    <w:p w14:paraId="22A9162F" w14:textId="77777777" w:rsidR="00B26031" w:rsidRDefault="003E31C5" w:rsidP="001C37FD">
      <w:pPr>
        <w:autoSpaceDE w:val="0"/>
        <w:autoSpaceDN w:val="0"/>
        <w:adjustRightInd w:val="0"/>
        <w:spacing w:after="0" w:line="240" w:lineRule="auto"/>
        <w:jc w:val="both"/>
        <w:rPr>
          <w:rFonts w:asciiTheme="majorHAnsi" w:hAnsiTheme="majorHAnsi" w:cstheme="majorHAnsi"/>
          <w:sz w:val="24"/>
          <w:szCs w:val="24"/>
          <w:lang w:val="en-US"/>
        </w:rPr>
      </w:pPr>
      <w:r w:rsidRPr="00F942D3">
        <w:rPr>
          <w:rFonts w:asciiTheme="majorHAnsi" w:hAnsiTheme="majorHAnsi" w:cstheme="majorHAnsi"/>
          <w:sz w:val="24"/>
          <w:szCs w:val="24"/>
          <w:lang w:val="en-US"/>
        </w:rPr>
        <w:t xml:space="preserve">With </w:t>
      </w:r>
      <w:r w:rsidR="001C37FD">
        <w:rPr>
          <w:rFonts w:asciiTheme="majorHAnsi" w:hAnsiTheme="majorHAnsi" w:cstheme="majorHAnsi"/>
          <w:sz w:val="24"/>
          <w:szCs w:val="24"/>
          <w:lang w:val="en-US"/>
        </w:rPr>
        <w:t>the subject line</w:t>
      </w:r>
      <w:r w:rsidRPr="00F942D3">
        <w:rPr>
          <w:rFonts w:asciiTheme="majorHAnsi" w:hAnsiTheme="majorHAnsi" w:cstheme="majorHAnsi"/>
          <w:sz w:val="24"/>
          <w:szCs w:val="24"/>
          <w:lang w:val="en-US"/>
        </w:rPr>
        <w:t xml:space="preserve">: </w:t>
      </w:r>
    </w:p>
    <w:p w14:paraId="629EA258" w14:textId="4BC4C04C" w:rsidR="00A276FA" w:rsidRPr="00F942D3" w:rsidRDefault="001C37FD" w:rsidP="001C37FD">
      <w:pPr>
        <w:autoSpaceDE w:val="0"/>
        <w:autoSpaceDN w:val="0"/>
        <w:adjustRightInd w:val="0"/>
        <w:spacing w:after="0" w:line="240" w:lineRule="auto"/>
        <w:jc w:val="both"/>
        <w:rPr>
          <w:rFonts w:asciiTheme="majorHAnsi" w:hAnsiTheme="majorHAnsi" w:cstheme="majorHAnsi"/>
          <w:sz w:val="24"/>
          <w:szCs w:val="24"/>
          <w:lang w:val="en-US"/>
        </w:rPr>
      </w:pPr>
      <w:r w:rsidRPr="001C37FD">
        <w:rPr>
          <w:rFonts w:asciiTheme="majorHAnsi" w:hAnsiTheme="majorHAnsi" w:cstheme="majorHAnsi"/>
          <w:sz w:val="24"/>
          <w:szCs w:val="24"/>
          <w:lang w:val="en-US"/>
        </w:rPr>
        <w:t>Service offer for the comparative analysis between the legal standards of China and the European Union on sustainable forest management</w:t>
      </w:r>
    </w:p>
    <w:p w14:paraId="04B9ACBD" w14:textId="77777777" w:rsidR="001C37FD" w:rsidRPr="001C37FD" w:rsidRDefault="001C37FD" w:rsidP="003D4AFD">
      <w:pPr>
        <w:rPr>
          <w:rFonts w:asciiTheme="majorHAnsi" w:hAnsiTheme="majorHAnsi" w:cstheme="majorHAnsi"/>
          <w:b/>
          <w:sz w:val="24"/>
          <w:szCs w:val="24"/>
          <w:lang w:val="en-US"/>
        </w:rPr>
      </w:pPr>
      <w:bookmarkStart w:id="0" w:name="_GoBack"/>
      <w:bookmarkEnd w:id="0"/>
    </w:p>
    <w:sectPr w:rsidR="001C37FD" w:rsidRPr="001C37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7E57" w14:textId="77777777" w:rsidR="004111A7" w:rsidRDefault="004111A7" w:rsidP="00C75583">
      <w:pPr>
        <w:spacing w:after="0" w:line="240" w:lineRule="auto"/>
      </w:pPr>
      <w:r>
        <w:separator/>
      </w:r>
    </w:p>
  </w:endnote>
  <w:endnote w:type="continuationSeparator" w:id="0">
    <w:p w14:paraId="049DEFD7" w14:textId="77777777" w:rsidR="004111A7" w:rsidRDefault="004111A7" w:rsidP="00C7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40838"/>
      <w:docPartObj>
        <w:docPartGallery w:val="Page Numbers (Bottom of Page)"/>
        <w:docPartUnique/>
      </w:docPartObj>
    </w:sdtPr>
    <w:sdtEndPr/>
    <w:sdtContent>
      <w:p w14:paraId="6D37E20B" w14:textId="77777777" w:rsidR="00B6401F" w:rsidRDefault="00B6401F">
        <w:pPr>
          <w:pStyle w:val="Pieddepage"/>
          <w:jc w:val="right"/>
        </w:pPr>
        <w:r>
          <w:fldChar w:fldCharType="begin"/>
        </w:r>
        <w:r>
          <w:instrText>PAGE   \* MERGEFORMAT</w:instrText>
        </w:r>
        <w:r>
          <w:fldChar w:fldCharType="separate"/>
        </w:r>
        <w:r w:rsidR="00262F8D">
          <w:rPr>
            <w:noProof/>
          </w:rPr>
          <w:t>3</w:t>
        </w:r>
        <w:r>
          <w:fldChar w:fldCharType="end"/>
        </w:r>
      </w:p>
    </w:sdtContent>
  </w:sdt>
  <w:p w14:paraId="13E7A587" w14:textId="77777777" w:rsidR="00B6401F" w:rsidRDefault="00B64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0520" w14:textId="77777777" w:rsidR="004111A7" w:rsidRDefault="004111A7" w:rsidP="00C75583">
      <w:pPr>
        <w:spacing w:after="0" w:line="240" w:lineRule="auto"/>
      </w:pPr>
      <w:r>
        <w:separator/>
      </w:r>
    </w:p>
  </w:footnote>
  <w:footnote w:type="continuationSeparator" w:id="0">
    <w:p w14:paraId="63F57570" w14:textId="77777777" w:rsidR="004111A7" w:rsidRDefault="004111A7" w:rsidP="00C75583">
      <w:pPr>
        <w:spacing w:after="0" w:line="240" w:lineRule="auto"/>
      </w:pPr>
      <w:r>
        <w:continuationSeparator/>
      </w:r>
    </w:p>
  </w:footnote>
  <w:footnote w:id="1">
    <w:p w14:paraId="6A2424E5" w14:textId="77777777" w:rsidR="00B6401F" w:rsidRDefault="00B6401F">
      <w:pPr>
        <w:pStyle w:val="Notedebasdepage"/>
      </w:pPr>
      <w:r>
        <w:rPr>
          <w:rStyle w:val="Appelnotedebasdep"/>
        </w:rPr>
        <w:footnoteRef/>
      </w:r>
      <w:r>
        <w:t xml:space="preserve"> </w:t>
      </w:r>
      <w:hyperlink r:id="rId1" w:history="1">
        <w:r w:rsidRPr="00780CA4">
          <w:rPr>
            <w:rStyle w:val="Lienhypertexte"/>
          </w:rPr>
          <w:t>http://www.timbertradeportal.com/countries/gabon/</w:t>
        </w:r>
      </w:hyperlink>
      <w:r>
        <w:t>Accessed 01/18/2019.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BFF6" w14:textId="77777777" w:rsidR="00B6401F" w:rsidRDefault="00B6401F">
    <w:pPr>
      <w:pStyle w:val="En-tte"/>
    </w:pPr>
    <w:r>
      <w:rPr>
        <w:noProof/>
        <w:lang w:eastAsia="fr-FR"/>
      </w:rPr>
      <w:drawing>
        <wp:inline distT="0" distB="0" distL="0" distR="0" wp14:anchorId="6E0BB64D" wp14:editId="525D8E2D">
          <wp:extent cx="1424679" cy="586720"/>
          <wp:effectExtent l="0" t="0" r="0" b="4445"/>
          <wp:docPr id="56" name="Image 56" descr="C:\Users\Jeanne Ndong\Documents\Nelly passport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e Ndong\Documents\Nelly passport_fil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194" cy="595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4E4"/>
    <w:multiLevelType w:val="hybridMultilevel"/>
    <w:tmpl w:val="4752754A"/>
    <w:lvl w:ilvl="0" w:tplc="09369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10993"/>
    <w:multiLevelType w:val="hybridMultilevel"/>
    <w:tmpl w:val="B080B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72B55"/>
    <w:multiLevelType w:val="hybridMultilevel"/>
    <w:tmpl w:val="07C6969A"/>
    <w:lvl w:ilvl="0" w:tplc="09369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B61DF8"/>
    <w:multiLevelType w:val="hybridMultilevel"/>
    <w:tmpl w:val="EFF058C2"/>
    <w:lvl w:ilvl="0" w:tplc="09369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B271A"/>
    <w:multiLevelType w:val="hybridMultilevel"/>
    <w:tmpl w:val="A4C236E4"/>
    <w:lvl w:ilvl="0" w:tplc="09369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BC6F01"/>
    <w:multiLevelType w:val="multilevel"/>
    <w:tmpl w:val="795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1F"/>
    <w:rsid w:val="00013600"/>
    <w:rsid w:val="00095BA2"/>
    <w:rsid w:val="000C35CF"/>
    <w:rsid w:val="000F17EB"/>
    <w:rsid w:val="000F6E5A"/>
    <w:rsid w:val="00135A67"/>
    <w:rsid w:val="0014221F"/>
    <w:rsid w:val="0017114F"/>
    <w:rsid w:val="001B117D"/>
    <w:rsid w:val="001C37FD"/>
    <w:rsid w:val="002011DE"/>
    <w:rsid w:val="00262F04"/>
    <w:rsid w:val="00262F8D"/>
    <w:rsid w:val="00265043"/>
    <w:rsid w:val="00270A1D"/>
    <w:rsid w:val="00276C58"/>
    <w:rsid w:val="00296575"/>
    <w:rsid w:val="002C5C1C"/>
    <w:rsid w:val="002C5DF5"/>
    <w:rsid w:val="002D10B3"/>
    <w:rsid w:val="002E440D"/>
    <w:rsid w:val="003023EB"/>
    <w:rsid w:val="00312461"/>
    <w:rsid w:val="00316018"/>
    <w:rsid w:val="00394B45"/>
    <w:rsid w:val="003A1510"/>
    <w:rsid w:val="003C4965"/>
    <w:rsid w:val="003C49EF"/>
    <w:rsid w:val="003D4AFD"/>
    <w:rsid w:val="003E31C5"/>
    <w:rsid w:val="003F2830"/>
    <w:rsid w:val="004111A7"/>
    <w:rsid w:val="00424407"/>
    <w:rsid w:val="00444110"/>
    <w:rsid w:val="0044529A"/>
    <w:rsid w:val="004455C9"/>
    <w:rsid w:val="0047037B"/>
    <w:rsid w:val="00483F92"/>
    <w:rsid w:val="004A77D2"/>
    <w:rsid w:val="004C64D0"/>
    <w:rsid w:val="004D0C0C"/>
    <w:rsid w:val="004E0C5B"/>
    <w:rsid w:val="004F365A"/>
    <w:rsid w:val="005175F0"/>
    <w:rsid w:val="00536862"/>
    <w:rsid w:val="00540EF0"/>
    <w:rsid w:val="00550531"/>
    <w:rsid w:val="00561368"/>
    <w:rsid w:val="00595F5A"/>
    <w:rsid w:val="005A5BDD"/>
    <w:rsid w:val="005B6D83"/>
    <w:rsid w:val="005E0295"/>
    <w:rsid w:val="005E4996"/>
    <w:rsid w:val="005F3624"/>
    <w:rsid w:val="00601662"/>
    <w:rsid w:val="00617B58"/>
    <w:rsid w:val="006670BC"/>
    <w:rsid w:val="0069271F"/>
    <w:rsid w:val="006D3A2D"/>
    <w:rsid w:val="006F4DE5"/>
    <w:rsid w:val="00727DB0"/>
    <w:rsid w:val="00732AEC"/>
    <w:rsid w:val="00737CB7"/>
    <w:rsid w:val="007512E7"/>
    <w:rsid w:val="007578CD"/>
    <w:rsid w:val="0076178E"/>
    <w:rsid w:val="00761F1D"/>
    <w:rsid w:val="00765759"/>
    <w:rsid w:val="00793E32"/>
    <w:rsid w:val="00807A8F"/>
    <w:rsid w:val="008148EE"/>
    <w:rsid w:val="008446DD"/>
    <w:rsid w:val="0087597C"/>
    <w:rsid w:val="00906B08"/>
    <w:rsid w:val="0092093E"/>
    <w:rsid w:val="00935BC1"/>
    <w:rsid w:val="00945FAA"/>
    <w:rsid w:val="00954EA2"/>
    <w:rsid w:val="009A2F41"/>
    <w:rsid w:val="00A276FA"/>
    <w:rsid w:val="00A322C0"/>
    <w:rsid w:val="00A55EBE"/>
    <w:rsid w:val="00A75CCE"/>
    <w:rsid w:val="00A7641C"/>
    <w:rsid w:val="00A87F33"/>
    <w:rsid w:val="00AE347D"/>
    <w:rsid w:val="00B01DB2"/>
    <w:rsid w:val="00B171C7"/>
    <w:rsid w:val="00B26031"/>
    <w:rsid w:val="00B42CFD"/>
    <w:rsid w:val="00B5330E"/>
    <w:rsid w:val="00B6401F"/>
    <w:rsid w:val="00B65A7D"/>
    <w:rsid w:val="00B8251F"/>
    <w:rsid w:val="00BC5A93"/>
    <w:rsid w:val="00C30BAE"/>
    <w:rsid w:val="00C476C2"/>
    <w:rsid w:val="00C75583"/>
    <w:rsid w:val="00C93FDF"/>
    <w:rsid w:val="00C952E4"/>
    <w:rsid w:val="00CA6ADB"/>
    <w:rsid w:val="00D20398"/>
    <w:rsid w:val="00D27892"/>
    <w:rsid w:val="00D32CF5"/>
    <w:rsid w:val="00D461BB"/>
    <w:rsid w:val="00D50E22"/>
    <w:rsid w:val="00D56F5E"/>
    <w:rsid w:val="00D63AF5"/>
    <w:rsid w:val="00DB2CF9"/>
    <w:rsid w:val="00DD0199"/>
    <w:rsid w:val="00DE260E"/>
    <w:rsid w:val="00E23049"/>
    <w:rsid w:val="00E26A74"/>
    <w:rsid w:val="00E85EC6"/>
    <w:rsid w:val="00E975E3"/>
    <w:rsid w:val="00EE1E7C"/>
    <w:rsid w:val="00EE6FD8"/>
    <w:rsid w:val="00EF713F"/>
    <w:rsid w:val="00F03C66"/>
    <w:rsid w:val="00F05C8E"/>
    <w:rsid w:val="00F154C4"/>
    <w:rsid w:val="00F26831"/>
    <w:rsid w:val="00F66E67"/>
    <w:rsid w:val="00F911E7"/>
    <w:rsid w:val="00F942D3"/>
    <w:rsid w:val="00FB4357"/>
    <w:rsid w:val="00FC062A"/>
    <w:rsid w:val="00FC40C1"/>
    <w:rsid w:val="00FC79F0"/>
    <w:rsid w:val="00FD563B"/>
    <w:rsid w:val="00FF7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D577"/>
  <w15:docId w15:val="{20427AC5-8202-41CD-BD3B-23BF1B29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5583"/>
    <w:pPr>
      <w:tabs>
        <w:tab w:val="center" w:pos="4536"/>
        <w:tab w:val="right" w:pos="9072"/>
      </w:tabs>
      <w:spacing w:after="0" w:line="240" w:lineRule="auto"/>
    </w:pPr>
  </w:style>
  <w:style w:type="character" w:customStyle="1" w:styleId="En-tteCar">
    <w:name w:val="En-tête Car"/>
    <w:basedOn w:val="Policepardfaut"/>
    <w:link w:val="En-tte"/>
    <w:uiPriority w:val="99"/>
    <w:rsid w:val="00C75583"/>
  </w:style>
  <w:style w:type="paragraph" w:styleId="Pieddepage">
    <w:name w:val="footer"/>
    <w:basedOn w:val="Normal"/>
    <w:link w:val="PieddepageCar"/>
    <w:uiPriority w:val="99"/>
    <w:unhideWhenUsed/>
    <w:rsid w:val="00C75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5583"/>
  </w:style>
  <w:style w:type="paragraph" w:styleId="Notedebasdepage">
    <w:name w:val="footnote text"/>
    <w:basedOn w:val="Normal"/>
    <w:link w:val="NotedebasdepageCar"/>
    <w:uiPriority w:val="99"/>
    <w:semiHidden/>
    <w:unhideWhenUsed/>
    <w:rsid w:val="004D0C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C0C"/>
    <w:rPr>
      <w:sz w:val="20"/>
      <w:szCs w:val="20"/>
    </w:rPr>
  </w:style>
  <w:style w:type="character" w:styleId="Appelnotedebasdep">
    <w:name w:val="footnote reference"/>
    <w:basedOn w:val="Policepardfaut"/>
    <w:uiPriority w:val="99"/>
    <w:semiHidden/>
    <w:unhideWhenUsed/>
    <w:rsid w:val="004D0C0C"/>
    <w:rPr>
      <w:vertAlign w:val="superscript"/>
    </w:rPr>
  </w:style>
  <w:style w:type="character" w:styleId="Accentuation">
    <w:name w:val="Emphasis"/>
    <w:basedOn w:val="Policepardfaut"/>
    <w:uiPriority w:val="20"/>
    <w:qFormat/>
    <w:rsid w:val="00DD0199"/>
    <w:rPr>
      <w:i/>
      <w:iCs/>
    </w:rPr>
  </w:style>
  <w:style w:type="character" w:styleId="Lienhypertexte">
    <w:name w:val="Hyperlink"/>
    <w:basedOn w:val="Policepardfaut"/>
    <w:uiPriority w:val="99"/>
    <w:unhideWhenUsed/>
    <w:rsid w:val="00727DB0"/>
    <w:rPr>
      <w:color w:val="0563C1" w:themeColor="hyperlink"/>
      <w:u w:val="single"/>
    </w:rPr>
  </w:style>
  <w:style w:type="paragraph" w:styleId="Paragraphedeliste">
    <w:name w:val="List Paragraph"/>
    <w:basedOn w:val="Normal"/>
    <w:uiPriority w:val="34"/>
    <w:qFormat/>
    <w:rsid w:val="00DB2CF9"/>
    <w:pPr>
      <w:ind w:left="720"/>
      <w:contextualSpacing/>
    </w:pPr>
  </w:style>
  <w:style w:type="paragraph" w:customStyle="1" w:styleId="Default">
    <w:name w:val="Default"/>
    <w:rsid w:val="003E31C5"/>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D32CF5"/>
    <w:rPr>
      <w:sz w:val="16"/>
      <w:szCs w:val="16"/>
    </w:rPr>
  </w:style>
  <w:style w:type="paragraph" w:styleId="Commentaire">
    <w:name w:val="annotation text"/>
    <w:basedOn w:val="Normal"/>
    <w:link w:val="CommentaireCar"/>
    <w:uiPriority w:val="99"/>
    <w:semiHidden/>
    <w:unhideWhenUsed/>
    <w:rsid w:val="00D32CF5"/>
    <w:pPr>
      <w:spacing w:line="240" w:lineRule="auto"/>
    </w:pPr>
    <w:rPr>
      <w:sz w:val="20"/>
      <w:szCs w:val="20"/>
    </w:rPr>
  </w:style>
  <w:style w:type="character" w:customStyle="1" w:styleId="CommentaireCar">
    <w:name w:val="Commentaire Car"/>
    <w:basedOn w:val="Policepardfaut"/>
    <w:link w:val="Commentaire"/>
    <w:uiPriority w:val="99"/>
    <w:semiHidden/>
    <w:rsid w:val="00D32CF5"/>
    <w:rPr>
      <w:sz w:val="20"/>
      <w:szCs w:val="20"/>
    </w:rPr>
  </w:style>
  <w:style w:type="paragraph" w:styleId="Objetducommentaire">
    <w:name w:val="annotation subject"/>
    <w:basedOn w:val="Commentaire"/>
    <w:next w:val="Commentaire"/>
    <w:link w:val="ObjetducommentaireCar"/>
    <w:uiPriority w:val="99"/>
    <w:semiHidden/>
    <w:unhideWhenUsed/>
    <w:rsid w:val="00D32CF5"/>
    <w:rPr>
      <w:b/>
      <w:bCs/>
    </w:rPr>
  </w:style>
  <w:style w:type="character" w:customStyle="1" w:styleId="ObjetducommentaireCar">
    <w:name w:val="Objet du commentaire Car"/>
    <w:basedOn w:val="CommentaireCar"/>
    <w:link w:val="Objetducommentaire"/>
    <w:uiPriority w:val="99"/>
    <w:semiHidden/>
    <w:rsid w:val="00D32CF5"/>
    <w:rPr>
      <w:b/>
      <w:bCs/>
      <w:sz w:val="20"/>
      <w:szCs w:val="20"/>
    </w:rPr>
  </w:style>
  <w:style w:type="paragraph" w:styleId="Textedebulles">
    <w:name w:val="Balloon Text"/>
    <w:basedOn w:val="Normal"/>
    <w:link w:val="TextedebullesCar"/>
    <w:uiPriority w:val="99"/>
    <w:semiHidden/>
    <w:unhideWhenUsed/>
    <w:rsid w:val="00D32C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CF5"/>
    <w:rPr>
      <w:rFonts w:ascii="Segoe UI" w:hAnsi="Segoe UI" w:cs="Segoe UI"/>
      <w:sz w:val="18"/>
      <w:szCs w:val="18"/>
    </w:rPr>
  </w:style>
  <w:style w:type="table" w:styleId="Grilledutableau">
    <w:name w:val="Table Grid"/>
    <w:basedOn w:val="TableauNormal"/>
    <w:uiPriority w:val="39"/>
    <w:rsid w:val="0084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39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9547">
      <w:bodyDiv w:val="1"/>
      <w:marLeft w:val="0"/>
      <w:marRight w:val="0"/>
      <w:marTop w:val="0"/>
      <w:marBottom w:val="0"/>
      <w:divBdr>
        <w:top w:val="none" w:sz="0" w:space="0" w:color="auto"/>
        <w:left w:val="none" w:sz="0" w:space="0" w:color="auto"/>
        <w:bottom w:val="none" w:sz="0" w:space="0" w:color="auto"/>
        <w:right w:val="none" w:sz="0" w:space="0" w:color="auto"/>
      </w:divBdr>
    </w:div>
    <w:div w:id="1583904285">
      <w:bodyDiv w:val="1"/>
      <w:marLeft w:val="0"/>
      <w:marRight w:val="0"/>
      <w:marTop w:val="0"/>
      <w:marBottom w:val="0"/>
      <w:divBdr>
        <w:top w:val="none" w:sz="0" w:space="0" w:color="auto"/>
        <w:left w:val="none" w:sz="0" w:space="0" w:color="auto"/>
        <w:bottom w:val="none" w:sz="0" w:space="0" w:color="auto"/>
        <w:right w:val="none" w:sz="0" w:space="0" w:color="auto"/>
      </w:divBdr>
    </w:div>
    <w:div w:id="18688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wfgab@wwfgab.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bertradeportal.com/countries/gab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1496-13AA-4390-B043-AF958D9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1079</Words>
  <Characters>5935</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Eric Engone</cp:lastModifiedBy>
  <cp:revision>5</cp:revision>
  <cp:lastPrinted>2019-02-01T08:42:00Z</cp:lastPrinted>
  <dcterms:created xsi:type="dcterms:W3CDTF">2019-03-27T16:20:00Z</dcterms:created>
  <dcterms:modified xsi:type="dcterms:W3CDTF">2019-03-27T16:55:00Z</dcterms:modified>
</cp:coreProperties>
</file>