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F4" w:rsidRPr="00E05EF4" w:rsidRDefault="00E05EF4" w:rsidP="00726F50">
      <w:pPr>
        <w:pStyle w:val="GRP009Normal"/>
        <w:rPr>
          <w:rFonts w:asciiTheme="minorHAnsi" w:hAnsiTheme="minorHAnsi"/>
        </w:rPr>
      </w:pPr>
    </w:p>
    <w:p w:rsidR="000832E4" w:rsidRDefault="002F5904" w:rsidP="000832E4">
      <w:pPr>
        <w:pStyle w:val="GRP009Normal"/>
      </w:pPr>
      <w:r w:rsidRPr="000832E4">
        <w:t>WWF welcomes the IAEG-SDG’s indicator proposal (August 1</w:t>
      </w:r>
      <w:r w:rsidR="003F518F" w:rsidRPr="000832E4">
        <w:t>1</w:t>
      </w:r>
      <w:r w:rsidRPr="000832E4">
        <w:t>, 2015) as a constructive</w:t>
      </w:r>
      <w:r w:rsidR="00F43B5F" w:rsidRPr="000832E4">
        <w:t xml:space="preserve"> basis for further improvement. However, we </w:t>
      </w:r>
      <w:r w:rsidR="0002158A" w:rsidRPr="000832E4">
        <w:t xml:space="preserve">highlight </w:t>
      </w:r>
      <w:r w:rsidR="00542700" w:rsidRPr="000832E4">
        <w:t>three</w:t>
      </w:r>
      <w:r w:rsidR="0002158A" w:rsidRPr="000832E4">
        <w:t xml:space="preserve"> </w:t>
      </w:r>
      <w:r w:rsidR="00F43B5F" w:rsidRPr="000832E4">
        <w:t xml:space="preserve">core </w:t>
      </w:r>
      <w:r w:rsidR="00542700" w:rsidRPr="000832E4">
        <w:t>observations</w:t>
      </w:r>
      <w:r w:rsidR="00F43B5F" w:rsidRPr="000832E4">
        <w:t>:</w:t>
      </w:r>
    </w:p>
    <w:p w:rsidR="000832E4" w:rsidRDefault="00F43B5F" w:rsidP="000832E4">
      <w:pPr>
        <w:pStyle w:val="GRP009Normal"/>
        <w:numPr>
          <w:ilvl w:val="0"/>
          <w:numId w:val="37"/>
        </w:numPr>
      </w:pPr>
      <w:r w:rsidRPr="000832E4">
        <w:rPr>
          <w:b/>
        </w:rPr>
        <w:t>The environmental dimensions of many targets are being lost</w:t>
      </w:r>
      <w:r w:rsidRPr="000832E4">
        <w:t>.</w:t>
      </w:r>
      <w:r w:rsidR="000832E4">
        <w:t xml:space="preserve"> </w:t>
      </w:r>
      <w:r w:rsidR="0002158A" w:rsidRPr="000832E4">
        <w:t>In addition, t</w:t>
      </w:r>
      <w:r w:rsidR="00783842" w:rsidRPr="000832E4">
        <w:t>he August 11 list of proposed indicators is weighted more heavily towards coverage of social measures of development.</w:t>
      </w:r>
      <w:r w:rsidR="000832E4">
        <w:t xml:space="preserve"> </w:t>
      </w:r>
      <w:r w:rsidR="00783842" w:rsidRPr="000832E4">
        <w:t xml:space="preserve">The </w:t>
      </w:r>
      <w:proofErr w:type="spellStart"/>
      <w:r w:rsidR="00783842" w:rsidRPr="000832E4">
        <w:t>IAEG’s</w:t>
      </w:r>
      <w:proofErr w:type="spellEnd"/>
      <w:r w:rsidR="00783842" w:rsidRPr="000832E4">
        <w:t xml:space="preserve"> refined list must </w:t>
      </w:r>
      <w:r w:rsidR="002F5904" w:rsidRPr="000832E4">
        <w:t xml:space="preserve">improve the balance across </w:t>
      </w:r>
      <w:r w:rsidR="00783842" w:rsidRPr="000832E4">
        <w:t>social, economic and environmental dimensions.</w:t>
      </w:r>
    </w:p>
    <w:p w:rsidR="000832E4" w:rsidRDefault="00783842" w:rsidP="000832E4">
      <w:pPr>
        <w:pStyle w:val="GRP009Normal"/>
        <w:numPr>
          <w:ilvl w:val="0"/>
          <w:numId w:val="37"/>
        </w:numPr>
      </w:pPr>
      <w:r w:rsidRPr="000832E4">
        <w:rPr>
          <w:b/>
        </w:rPr>
        <w:t>T</w:t>
      </w:r>
      <w:r w:rsidR="00F43B5F" w:rsidRPr="000832E4">
        <w:rPr>
          <w:b/>
        </w:rPr>
        <w:t xml:space="preserve">here </w:t>
      </w:r>
      <w:r w:rsidRPr="000832E4">
        <w:rPr>
          <w:b/>
        </w:rPr>
        <w:t xml:space="preserve">is an opportunity </w:t>
      </w:r>
      <w:r w:rsidR="00F43B5F" w:rsidRPr="000832E4">
        <w:rPr>
          <w:b/>
        </w:rPr>
        <w:t xml:space="preserve">to </w:t>
      </w:r>
      <w:r w:rsidR="0002158A" w:rsidRPr="000832E4">
        <w:rPr>
          <w:b/>
        </w:rPr>
        <w:t xml:space="preserve">improve measures of certain environmental targets and </w:t>
      </w:r>
      <w:r w:rsidR="00F43B5F" w:rsidRPr="000832E4">
        <w:rPr>
          <w:b/>
        </w:rPr>
        <w:t>more fully measure biodiversity-related targets</w:t>
      </w:r>
      <w:r w:rsidR="00F43B5F" w:rsidRPr="000832E4">
        <w:t xml:space="preserve"> </w:t>
      </w:r>
      <w:r w:rsidRPr="000832E4">
        <w:t>while restricting the total number of indicators needed across the full framework</w:t>
      </w:r>
      <w:r w:rsidR="001E5FB1" w:rsidRPr="000832E4">
        <w:t>.</w:t>
      </w:r>
    </w:p>
    <w:p w:rsidR="000832E4" w:rsidRDefault="00A662AA" w:rsidP="000832E4">
      <w:pPr>
        <w:pStyle w:val="GRP009Normal"/>
        <w:numPr>
          <w:ilvl w:val="0"/>
          <w:numId w:val="37"/>
        </w:numPr>
      </w:pPr>
      <w:r w:rsidRPr="000832E4">
        <w:rPr>
          <w:b/>
        </w:rPr>
        <w:t>For</w:t>
      </w:r>
      <w:r w:rsidR="00542700" w:rsidRPr="000832E4">
        <w:rPr>
          <w:b/>
        </w:rPr>
        <w:t xml:space="preserve"> proposed indicators </w:t>
      </w:r>
      <w:r w:rsidRPr="000832E4">
        <w:rPr>
          <w:b/>
        </w:rPr>
        <w:t xml:space="preserve">that are </w:t>
      </w:r>
      <w:r w:rsidR="00542700" w:rsidRPr="000832E4">
        <w:rPr>
          <w:b/>
        </w:rPr>
        <w:t>considered currently difficult to measure</w:t>
      </w:r>
      <w:r w:rsidR="00542700" w:rsidRPr="000832E4">
        <w:t xml:space="preserve"> but </w:t>
      </w:r>
      <w:r w:rsidRPr="000832E4">
        <w:t xml:space="preserve">which </w:t>
      </w:r>
      <w:r w:rsidR="00542700" w:rsidRPr="000832E4">
        <w:t xml:space="preserve">are important to a balanced measure of progress against the SDGs, </w:t>
      </w:r>
      <w:r w:rsidR="00542700" w:rsidRPr="000832E4">
        <w:rPr>
          <w:b/>
        </w:rPr>
        <w:t xml:space="preserve">WWF calls for the IAEG to clearly indicate how those indicators will be </w:t>
      </w:r>
      <w:r w:rsidR="00666791" w:rsidRPr="000832E4">
        <w:rPr>
          <w:b/>
        </w:rPr>
        <w:t>rapidly</w:t>
      </w:r>
      <w:r w:rsidR="00542700" w:rsidRPr="000832E4">
        <w:rPr>
          <w:b/>
        </w:rPr>
        <w:t xml:space="preserve"> developed within the Agenda2030 timeframe</w:t>
      </w:r>
      <w:r w:rsidR="00542700" w:rsidRPr="000832E4">
        <w:t>.</w:t>
      </w:r>
    </w:p>
    <w:p w:rsidR="000832E4" w:rsidRPr="000832E4" w:rsidRDefault="00783842" w:rsidP="000832E4">
      <w:pPr>
        <w:pStyle w:val="GRP009Normal"/>
      </w:pPr>
      <w:r w:rsidRPr="000832E4">
        <w:t xml:space="preserve">WWF’s full position has been submitted through the CSO compilation document and is available at </w:t>
      </w:r>
      <w:hyperlink r:id="rId9" w:history="1">
        <w:r w:rsidR="003B2433" w:rsidRPr="000832E4">
          <w:rPr>
            <w:rStyle w:val="Hyperlink"/>
            <w:rFonts w:cs="Arial"/>
          </w:rPr>
          <w:t>http://panda.org/post2015</w:t>
        </w:r>
      </w:hyperlink>
      <w:r w:rsidR="003B2433" w:rsidRPr="000832E4">
        <w:t>.</w:t>
      </w:r>
    </w:p>
    <w:p w:rsidR="003B2433" w:rsidRPr="000832E4" w:rsidRDefault="003B2433" w:rsidP="001068C2">
      <w:pPr>
        <w:pStyle w:val="GRP006SubtitleLv2"/>
        <w:spacing w:before="120"/>
      </w:pPr>
      <w:r w:rsidRPr="000832E4">
        <w:t>Strengthening coverage</w:t>
      </w:r>
      <w:r w:rsidR="001E5FB1" w:rsidRPr="000832E4">
        <w:t xml:space="preserve"> </w:t>
      </w:r>
      <w:r w:rsidRPr="000832E4">
        <w:t>of the environmental dimensions of targets</w:t>
      </w:r>
    </w:p>
    <w:p w:rsidR="00E05EF4" w:rsidRPr="000832E4" w:rsidRDefault="00E05EF4" w:rsidP="000832E4">
      <w:pPr>
        <w:spacing w:after="60"/>
        <w:rPr>
          <w:b/>
          <w:color w:val="E36C0A" w:themeColor="accent6" w:themeShade="BF"/>
        </w:rPr>
      </w:pPr>
      <w:r w:rsidRPr="000832E4">
        <w:rPr>
          <w:b/>
          <w:color w:val="E36C0A" w:themeColor="accent6" w:themeShade="BF"/>
        </w:rPr>
        <w:t>Target 1.2</w:t>
      </w:r>
      <w:r w:rsidRPr="000832E4">
        <w:rPr>
          <w:b/>
          <w:color w:val="auto"/>
        </w:rPr>
        <w:t>: By 2030, reduce at least by half the proportion of men, women and children of all ages living in poverty in all its dimensions according to national definitions</w:t>
      </w:r>
    </w:p>
    <w:p w:rsidR="000832E4" w:rsidRDefault="00E05EF4" w:rsidP="000832E4">
      <w:pPr>
        <w:spacing w:after="60"/>
        <w:jc w:val="both"/>
        <w:rPr>
          <w:color w:val="auto"/>
        </w:rPr>
      </w:pPr>
      <w:r w:rsidRPr="000832E4">
        <w:rPr>
          <w:color w:val="auto"/>
        </w:rPr>
        <w:t>A multidimensional approach to poverty better reflects the intent of this target than the proposed indicator.</w:t>
      </w:r>
      <w:r w:rsidR="003F518F" w:rsidRPr="000832E4">
        <w:rPr>
          <w:color w:val="auto"/>
        </w:rPr>
        <w:t xml:space="preserve"> </w:t>
      </w:r>
      <w:r w:rsidR="00403FA9" w:rsidRPr="000832E4">
        <w:rPr>
          <w:color w:val="auto"/>
        </w:rPr>
        <w:t>B</w:t>
      </w:r>
      <w:r w:rsidRPr="000832E4">
        <w:rPr>
          <w:color w:val="auto"/>
        </w:rPr>
        <w:t>ecause people in low</w:t>
      </w:r>
      <w:r w:rsidR="00403FA9" w:rsidRPr="000832E4">
        <w:rPr>
          <w:color w:val="auto"/>
        </w:rPr>
        <w:t xml:space="preserve">er </w:t>
      </w:r>
      <w:r w:rsidRPr="000832E4">
        <w:rPr>
          <w:color w:val="auto"/>
        </w:rPr>
        <w:t xml:space="preserve">income </w:t>
      </w:r>
      <w:r w:rsidR="00403FA9" w:rsidRPr="000832E4">
        <w:rPr>
          <w:color w:val="auto"/>
        </w:rPr>
        <w:t>brackets</w:t>
      </w:r>
      <w:r w:rsidRPr="000832E4">
        <w:rPr>
          <w:color w:val="auto"/>
        </w:rPr>
        <w:t xml:space="preserve"> disproportionately experience the burden of poor environmental quality,</w:t>
      </w:r>
      <w:r w:rsidR="003F518F" w:rsidRPr="000832E4">
        <w:rPr>
          <w:color w:val="auto"/>
        </w:rPr>
        <w:t xml:space="preserve"> </w:t>
      </w:r>
      <w:r w:rsidRPr="000832E4">
        <w:rPr>
          <w:i/>
          <w:color w:val="auto"/>
        </w:rPr>
        <w:t>poverty in living standards</w:t>
      </w:r>
      <w:r w:rsidRPr="000832E4">
        <w:rPr>
          <w:color w:val="auto"/>
        </w:rPr>
        <w:t>, including “poverty in environment of good quality” should be included alongside more standard MPI</w:t>
      </w:r>
      <w:r w:rsidR="00403FA9" w:rsidRPr="000832E4">
        <w:rPr>
          <w:color w:val="auto"/>
        </w:rPr>
        <w:t xml:space="preserve"> component. See</w:t>
      </w:r>
      <w:r w:rsidR="000832E4">
        <w:rPr>
          <w:color w:val="auto"/>
        </w:rPr>
        <w:t xml:space="preserve"> </w:t>
      </w:r>
      <w:r w:rsidRPr="000832E4">
        <w:rPr>
          <w:color w:val="auto"/>
        </w:rPr>
        <w:t>“Monitoring multidimensional poverty in the</w:t>
      </w:r>
      <w:r w:rsidR="00403FA9" w:rsidRPr="000832E4">
        <w:rPr>
          <w:color w:val="auto"/>
        </w:rPr>
        <w:t xml:space="preserve"> regions of the European Union” </w:t>
      </w:r>
      <w:r w:rsidRPr="000832E4">
        <w:rPr>
          <w:color w:val="auto"/>
        </w:rPr>
        <w:t>(</w:t>
      </w:r>
      <w:hyperlink r:id="rId10">
        <w:r w:rsidRPr="000832E4">
          <w:rPr>
            <w:color w:val="auto"/>
            <w:u w:val="single"/>
          </w:rPr>
          <w:t>https://ec.europa.eu/jrc/sites/default/files/mpi_report_online.pdf</w:t>
        </w:r>
      </w:hyperlink>
      <w:r w:rsidRPr="000832E4">
        <w:rPr>
          <w:color w:val="auto"/>
        </w:rPr>
        <w:t>).</w:t>
      </w:r>
    </w:p>
    <w:p w:rsidR="00E05EF4" w:rsidRPr="000832E4" w:rsidRDefault="00E05EF4" w:rsidP="000832E4">
      <w:pPr>
        <w:spacing w:after="60"/>
        <w:jc w:val="both"/>
        <w:rPr>
          <w:color w:val="auto"/>
        </w:rPr>
      </w:pPr>
    </w:p>
    <w:p w:rsidR="00E05EF4" w:rsidRPr="000832E4" w:rsidRDefault="00E05EF4" w:rsidP="000832E4">
      <w:pPr>
        <w:spacing w:after="60"/>
        <w:jc w:val="both"/>
        <w:rPr>
          <w:color w:val="auto"/>
        </w:rPr>
      </w:pPr>
      <w:r w:rsidRPr="000832E4">
        <w:rPr>
          <w:b/>
          <w:color w:val="E36C0A" w:themeColor="accent6" w:themeShade="BF"/>
        </w:rPr>
        <w:t>Target 1.4</w:t>
      </w:r>
      <w:r w:rsidRPr="000832E4">
        <w:rPr>
          <w:b/>
          <w:color w:val="auto"/>
        </w:rPr>
        <w:t>: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rsidR="00E05EF4" w:rsidRPr="000832E4" w:rsidRDefault="00E05EF4" w:rsidP="000832E4">
      <w:pPr>
        <w:spacing w:after="60"/>
        <w:jc w:val="both"/>
        <w:rPr>
          <w:color w:val="auto"/>
        </w:rPr>
      </w:pPr>
      <w:r w:rsidRPr="000832E4">
        <w:rPr>
          <w:color w:val="auto"/>
        </w:rPr>
        <w:t>Indicator 1.4.2 “Proportion of adult population with tenure that is legally recognised and documented or perceived as secure, by sex and age group”</w:t>
      </w:r>
      <w:r w:rsidR="003F518F" w:rsidRPr="000832E4">
        <w:rPr>
          <w:color w:val="auto"/>
        </w:rPr>
        <w:t xml:space="preserve"> </w:t>
      </w:r>
      <w:r w:rsidRPr="000832E4">
        <w:rPr>
          <w:color w:val="auto"/>
        </w:rPr>
        <w:t>is important and preferable to the proposed indicator “Share of women among agricultural land owners by age and location (U/R)”.</w:t>
      </w:r>
      <w:r w:rsidR="003F518F" w:rsidRPr="000832E4">
        <w:rPr>
          <w:color w:val="auto"/>
        </w:rPr>
        <w:t xml:space="preserve"> </w:t>
      </w:r>
      <w:r w:rsidR="00403FA9" w:rsidRPr="000832E4">
        <w:rPr>
          <w:color w:val="auto"/>
        </w:rPr>
        <w:t>T</w:t>
      </w:r>
      <w:r w:rsidRPr="000832E4">
        <w:rPr>
          <w:color w:val="auto"/>
        </w:rPr>
        <w:t xml:space="preserve">enure </w:t>
      </w:r>
      <w:r w:rsidR="00403FA9" w:rsidRPr="000832E4">
        <w:rPr>
          <w:color w:val="auto"/>
        </w:rPr>
        <w:t>should be defined to</w:t>
      </w:r>
      <w:r w:rsidRPr="000832E4">
        <w:rPr>
          <w:color w:val="auto"/>
        </w:rPr>
        <w:t xml:space="preserve"> include tenure/use rights over natural resources, including access to wild capture marine fisheries</w:t>
      </w:r>
      <w:r w:rsidR="00403FA9" w:rsidRPr="000832E4">
        <w:rPr>
          <w:color w:val="auto"/>
        </w:rPr>
        <w:t>. T</w:t>
      </w:r>
      <w:r w:rsidRPr="000832E4">
        <w:rPr>
          <w:color w:val="auto"/>
        </w:rPr>
        <w:t xml:space="preserve">his indicator should be disaggregated </w:t>
      </w:r>
      <w:r w:rsidR="00403FA9" w:rsidRPr="000832E4">
        <w:rPr>
          <w:color w:val="auto"/>
        </w:rPr>
        <w:t xml:space="preserve">by sex, </w:t>
      </w:r>
      <w:r w:rsidRPr="000832E4">
        <w:rPr>
          <w:color w:val="auto"/>
        </w:rPr>
        <w:t xml:space="preserve">age </w:t>
      </w:r>
      <w:r w:rsidR="00403FA9" w:rsidRPr="000832E4">
        <w:rPr>
          <w:color w:val="auto"/>
        </w:rPr>
        <w:t>and for</w:t>
      </w:r>
      <w:r w:rsidRPr="000832E4">
        <w:rPr>
          <w:color w:val="auto"/>
        </w:rPr>
        <w:t xml:space="preserve"> </w:t>
      </w:r>
      <w:r w:rsidRPr="000832E4">
        <w:rPr>
          <w:color w:val="auto"/>
        </w:rPr>
        <w:lastRenderedPageBreak/>
        <w:t>indigenous/ethnic peoples, as per the proposal by UNEP:</w:t>
      </w:r>
      <w:r w:rsidR="003F518F" w:rsidRPr="000832E4">
        <w:rPr>
          <w:color w:val="auto"/>
        </w:rPr>
        <w:t xml:space="preserve"> </w:t>
      </w:r>
      <w:r w:rsidRPr="000832E4">
        <w:rPr>
          <w:color w:val="auto"/>
        </w:rPr>
        <w:t>“Percentage of women, men, indigenous peoples and local communities with secure tenure rights to individually or communally held land, property and natural resources”.</w:t>
      </w:r>
    </w:p>
    <w:p w:rsidR="00E05EF4" w:rsidRPr="000832E4" w:rsidRDefault="00E05EF4" w:rsidP="000832E4">
      <w:pPr>
        <w:spacing w:after="60"/>
        <w:jc w:val="both"/>
        <w:rPr>
          <w:color w:val="auto"/>
        </w:rPr>
      </w:pPr>
    </w:p>
    <w:p w:rsidR="00E05EF4" w:rsidRPr="000832E4" w:rsidRDefault="00E05EF4" w:rsidP="000832E4">
      <w:pPr>
        <w:spacing w:after="60"/>
        <w:jc w:val="both"/>
        <w:rPr>
          <w:color w:val="auto"/>
        </w:rPr>
      </w:pPr>
      <w:r w:rsidRPr="000832E4">
        <w:rPr>
          <w:b/>
          <w:color w:val="E36C0A" w:themeColor="accent6" w:themeShade="BF"/>
        </w:rPr>
        <w:t>Target 2.3</w:t>
      </w:r>
      <w:r w:rsidRPr="000832E4">
        <w:rPr>
          <w:b/>
          <w:color w:val="auto"/>
        </w:rPr>
        <w:t>: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p w:rsidR="00AB4A8A" w:rsidRPr="000832E4" w:rsidRDefault="00E05EF4" w:rsidP="000832E4">
      <w:pPr>
        <w:spacing w:after="60"/>
        <w:jc w:val="both"/>
        <w:rPr>
          <w:color w:val="auto"/>
        </w:rPr>
      </w:pPr>
      <w:r w:rsidRPr="000832E4">
        <w:rPr>
          <w:color w:val="auto"/>
        </w:rPr>
        <w:t>WWF supports the suggested indicator amended to include Fisheries in the classes of enterprise: “Value of production per labour unit (measured in constant USD), by classes of farming/pastoral/forestry/</w:t>
      </w:r>
      <w:r w:rsidRPr="000832E4">
        <w:rPr>
          <w:color w:val="auto"/>
          <w:u w:val="single"/>
        </w:rPr>
        <w:t>fisheries</w:t>
      </w:r>
      <w:r w:rsidRPr="000832E4">
        <w:rPr>
          <w:color w:val="auto"/>
        </w:rPr>
        <w:t xml:space="preserve"> enterprise size”.</w:t>
      </w:r>
      <w:r w:rsidR="003F518F" w:rsidRPr="000832E4">
        <w:rPr>
          <w:color w:val="auto"/>
        </w:rPr>
        <w:t xml:space="preserve"> </w:t>
      </w:r>
      <w:r w:rsidRPr="000832E4">
        <w:rPr>
          <w:color w:val="auto"/>
        </w:rPr>
        <w:t>Fisheries are included in the Agriculture Orientation Index and should be explicitly mentioned.</w:t>
      </w:r>
      <w:r w:rsidR="003F518F" w:rsidRPr="000832E4">
        <w:rPr>
          <w:color w:val="auto"/>
        </w:rPr>
        <w:t xml:space="preserve"> </w:t>
      </w:r>
      <w:r w:rsidRPr="000832E4">
        <w:rPr>
          <w:color w:val="auto"/>
        </w:rPr>
        <w:t>The indicator should be disaggregated by size, gender and ethnic/indigenous groups.</w:t>
      </w:r>
      <w:r w:rsidR="003F518F" w:rsidRPr="000832E4">
        <w:rPr>
          <w:color w:val="auto"/>
        </w:rPr>
        <w:t xml:space="preserve"> </w:t>
      </w:r>
      <w:r w:rsidRPr="000832E4">
        <w:rPr>
          <w:color w:val="auto"/>
        </w:rPr>
        <w:t>We suggest an additional indicator “% credibly certified sustainable production (as defined by ISEAL</w:t>
      </w:r>
      <w:hyperlink r:id="rId11">
        <w:r w:rsidRPr="000832E4">
          <w:rPr>
            <w:color w:val="auto"/>
          </w:rPr>
          <w:t xml:space="preserve"> </w:t>
        </w:r>
      </w:hyperlink>
      <w:hyperlink r:id="rId12">
        <w:r w:rsidRPr="000832E4">
          <w:rPr>
            <w:color w:val="auto"/>
          </w:rPr>
          <w:t>http://www.isealalliance.org/our-members</w:t>
        </w:r>
      </w:hyperlink>
      <w:r w:rsidR="004220EA" w:rsidRPr="000832E4">
        <w:rPr>
          <w:color w:val="auto"/>
        </w:rPr>
        <w:t xml:space="preserve">) </w:t>
      </w:r>
      <w:r w:rsidRPr="000832E4">
        <w:rPr>
          <w:color w:val="auto"/>
        </w:rPr>
        <w:t>of overall production”, with data from</w:t>
      </w:r>
      <w:r w:rsidR="003F518F" w:rsidRPr="000832E4">
        <w:rPr>
          <w:color w:val="auto"/>
        </w:rPr>
        <w:t xml:space="preserve"> </w:t>
      </w:r>
      <w:r w:rsidRPr="000832E4">
        <w:rPr>
          <w:color w:val="auto"/>
        </w:rPr>
        <w:t>FAO and ISEAL/Credible certification schemes. An increasing body of literature shows the positive impacts of credible schemes, e.g. farmer outreach and increased yields/reduced inputs compared to conventional production, protection of areas of High Conservation values from conversion. This indicator would also inform 2.3, 2.5, 6a, 8.4, 12a, 14.1 &amp; 14.2.</w:t>
      </w:r>
    </w:p>
    <w:p w:rsidR="001E5FB1" w:rsidRPr="000832E4" w:rsidRDefault="001E5FB1" w:rsidP="000832E4">
      <w:pPr>
        <w:spacing w:after="60"/>
        <w:jc w:val="both"/>
        <w:rPr>
          <w:b/>
          <w:color w:val="auto"/>
        </w:rPr>
      </w:pPr>
    </w:p>
    <w:p w:rsidR="00E05EF4" w:rsidRPr="000832E4" w:rsidRDefault="00E05EF4" w:rsidP="000832E4">
      <w:pPr>
        <w:spacing w:after="60"/>
        <w:jc w:val="both"/>
        <w:rPr>
          <w:color w:val="auto"/>
        </w:rPr>
      </w:pPr>
      <w:r w:rsidRPr="000832E4">
        <w:rPr>
          <w:b/>
          <w:color w:val="E36C0A" w:themeColor="accent6" w:themeShade="BF"/>
        </w:rPr>
        <w:t>Target 3.9</w:t>
      </w:r>
      <w:r w:rsidRPr="000832E4">
        <w:rPr>
          <w:b/>
          <w:color w:val="auto"/>
        </w:rPr>
        <w:t>: By 2030, substantially reduce the number of deaths and illnesses from hazardous chemicals and air, water and soil pollution and contamination</w:t>
      </w:r>
    </w:p>
    <w:p w:rsidR="00E05EF4" w:rsidRPr="000832E4" w:rsidRDefault="00E05EF4" w:rsidP="000832E4">
      <w:pPr>
        <w:spacing w:after="60"/>
        <w:jc w:val="both"/>
        <w:rPr>
          <w:color w:val="auto"/>
        </w:rPr>
      </w:pPr>
      <w:r w:rsidRPr="000832E4">
        <w:rPr>
          <w:color w:val="auto"/>
        </w:rPr>
        <w:t>WWF would support a broader coverage of issues beyond only air pollution to better capture the intent of this target, for example as proposed by UNEP:</w:t>
      </w:r>
      <w:r w:rsidR="003F518F" w:rsidRPr="000832E4">
        <w:rPr>
          <w:color w:val="auto"/>
        </w:rPr>
        <w:t xml:space="preserve"> </w:t>
      </w:r>
      <w:r w:rsidRPr="000832E4">
        <w:rPr>
          <w:color w:val="auto"/>
        </w:rPr>
        <w:t>Alternative: Death and disability (disaggregated by sex and age) from indoor and outdoor air quality, water/sanitation, and contaminated sites.</w:t>
      </w:r>
    </w:p>
    <w:p w:rsidR="00E05EF4" w:rsidRPr="000832E4" w:rsidRDefault="00E05EF4" w:rsidP="000832E4">
      <w:pPr>
        <w:spacing w:after="60"/>
        <w:jc w:val="both"/>
        <w:rPr>
          <w:color w:val="auto"/>
        </w:rPr>
      </w:pPr>
    </w:p>
    <w:p w:rsidR="00E05EF4" w:rsidRPr="000832E4" w:rsidRDefault="00E05EF4" w:rsidP="000832E4">
      <w:pPr>
        <w:spacing w:after="60"/>
        <w:jc w:val="both"/>
        <w:rPr>
          <w:color w:val="auto"/>
        </w:rPr>
      </w:pPr>
      <w:r w:rsidRPr="000832E4">
        <w:rPr>
          <w:b/>
          <w:color w:val="E36C0A" w:themeColor="accent6" w:themeShade="BF"/>
        </w:rPr>
        <w:t>Target 4.7</w:t>
      </w:r>
      <w:r w:rsidRPr="000832E4">
        <w:rPr>
          <w:b/>
          <w:color w:val="auto"/>
        </w:rPr>
        <w:t>: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rsidR="00A66D31" w:rsidRPr="000832E4" w:rsidRDefault="00A66D31" w:rsidP="000832E4">
      <w:pPr>
        <w:spacing w:after="60"/>
        <w:jc w:val="both"/>
        <w:rPr>
          <w:color w:val="auto"/>
        </w:rPr>
      </w:pPr>
      <w:r w:rsidRPr="000832E4">
        <w:rPr>
          <w:color w:val="auto"/>
        </w:rPr>
        <w:t>The suggested indicator is too narrow, with a limited view of ESD while suggested tools such as PISA ne</w:t>
      </w:r>
      <w:r w:rsidR="00BB54EE" w:rsidRPr="000832E4">
        <w:rPr>
          <w:color w:val="auto"/>
        </w:rPr>
        <w:t>ed to be revised. WWF suggests replacing it with “Percentage of 10 and 15-year old students enrolled in education for sustainable development demonstrating at least a fixed level of knowledge and skills to argue, take a stand, and take action for sustainable development across a selection of topics.” (Source: UNESCO country reports/ ICCS reports next to be updated 2016).</w:t>
      </w:r>
      <w:r w:rsidR="00AB4A8A" w:rsidRPr="000832E4">
        <w:rPr>
          <w:color w:val="auto"/>
        </w:rPr>
        <w:t xml:space="preserve"> </w:t>
      </w:r>
      <w:r w:rsidR="00BB54EE" w:rsidRPr="000832E4">
        <w:rPr>
          <w:color w:val="auto"/>
        </w:rPr>
        <w:t>An additional indicator could include: “Number of countries with ESD integrated in national curricula (including efforts for entrepreneurial skills for sustainable development and active participation in other programmes for SDGs) (Same source).</w:t>
      </w:r>
    </w:p>
    <w:p w:rsidR="00BB54EE" w:rsidRPr="000832E4" w:rsidRDefault="00BB54EE" w:rsidP="000832E4">
      <w:pPr>
        <w:spacing w:after="60"/>
        <w:jc w:val="both"/>
        <w:rPr>
          <w:color w:val="auto"/>
        </w:rPr>
      </w:pPr>
    </w:p>
    <w:p w:rsidR="00E05EF4" w:rsidRPr="000832E4" w:rsidRDefault="00E05EF4" w:rsidP="000832E4">
      <w:pPr>
        <w:spacing w:after="60"/>
        <w:jc w:val="both"/>
        <w:rPr>
          <w:color w:val="auto"/>
        </w:rPr>
      </w:pPr>
      <w:r w:rsidRPr="000832E4">
        <w:rPr>
          <w:b/>
          <w:color w:val="E36C0A" w:themeColor="accent6" w:themeShade="BF"/>
        </w:rPr>
        <w:t>Target 5.a:</w:t>
      </w:r>
      <w:r w:rsidRPr="000832E4">
        <w:rPr>
          <w:b/>
          <w:color w:val="auto"/>
        </w:rPr>
        <w:t xml:space="preserve"> Undertake reforms to give women equal rights to economic resources, as well as access to ownership and control over land and other forms of property, financial services, inheritance and natural resources, in accordance with national laws</w:t>
      </w:r>
    </w:p>
    <w:p w:rsidR="00F80311" w:rsidRPr="000832E4" w:rsidRDefault="00E05EF4" w:rsidP="000832E4">
      <w:pPr>
        <w:spacing w:after="60"/>
        <w:jc w:val="both"/>
        <w:rPr>
          <w:b/>
          <w:color w:val="E36C0A" w:themeColor="accent6" w:themeShade="BF"/>
        </w:rPr>
      </w:pPr>
      <w:r w:rsidRPr="000832E4">
        <w:rPr>
          <w:color w:val="auto"/>
        </w:rPr>
        <w:t>WWF supports the 2nd, rights-based indicator (proposed by FAO/IFAD/UN Women): "The legal framework includes special measures to guarantee women's equal rights to land ownership and control".</w:t>
      </w:r>
      <w:r w:rsidR="003F518F" w:rsidRPr="000832E4">
        <w:rPr>
          <w:color w:val="auto"/>
        </w:rPr>
        <w:t xml:space="preserve"> </w:t>
      </w:r>
      <w:r w:rsidRPr="000832E4">
        <w:rPr>
          <w:color w:val="auto"/>
        </w:rPr>
        <w:t>We encourage as broad an interpretation of “land” as feasible to include natural resources.</w:t>
      </w:r>
      <w:r w:rsidR="00F80311" w:rsidRPr="000832E4">
        <w:rPr>
          <w:b/>
          <w:color w:val="E36C0A" w:themeColor="accent6" w:themeShade="BF"/>
        </w:rPr>
        <w:br w:type="page"/>
      </w:r>
    </w:p>
    <w:p w:rsidR="00301E5C" w:rsidRPr="000832E4" w:rsidRDefault="00301E5C" w:rsidP="000832E4">
      <w:pPr>
        <w:spacing w:after="60"/>
        <w:jc w:val="both"/>
        <w:rPr>
          <w:color w:val="auto"/>
        </w:rPr>
      </w:pPr>
      <w:r w:rsidRPr="000832E4">
        <w:rPr>
          <w:b/>
          <w:color w:val="E36C0A" w:themeColor="accent6" w:themeShade="BF"/>
        </w:rPr>
        <w:lastRenderedPageBreak/>
        <w:t>Target 6.4</w:t>
      </w:r>
      <w:r w:rsidRPr="000832E4">
        <w:rPr>
          <w:b/>
          <w:color w:val="auto"/>
        </w:rPr>
        <w:t>: By 2030, substantially increase water-use efficiency across all sectors and ensure sustainable withdrawals and supply of freshwater to address water scarcity and substantially reduce the number of people suffering from water scarcity</w:t>
      </w:r>
    </w:p>
    <w:p w:rsidR="00301E5C" w:rsidRPr="000832E4" w:rsidRDefault="00301E5C" w:rsidP="000832E4">
      <w:pPr>
        <w:tabs>
          <w:tab w:val="left" w:pos="4035"/>
        </w:tabs>
        <w:spacing w:after="60"/>
        <w:jc w:val="both"/>
        <w:rPr>
          <w:color w:val="auto"/>
        </w:rPr>
      </w:pPr>
      <w:r w:rsidRPr="000832E4">
        <w:t xml:space="preserve">WWF supports the following indicator: “Freshwater withdrawal as a percentage of available, sustainable freshwater supply.” The concept of sustainability is central to this target and should be reflected in the indicator to ensure that environmental requirements are accounted for. Additionally, basin-level and temporal information will both be important in measuring the sustainability of water withdrawals. WWF’s suggests disaggregation to basins, with country-level data to then be developed using proportional averages within country boundaries. To address the need to include temporal water withdrawal information, WWF suggests that a third metric around </w:t>
      </w:r>
      <w:proofErr w:type="spellStart"/>
      <w:r w:rsidRPr="000832E4">
        <w:t>spatio</w:t>
      </w:r>
      <w:proofErr w:type="spellEnd"/>
      <w:r w:rsidRPr="000832E4">
        <w:t>-temporal monitoring of supply and demand would be highly useful.</w:t>
      </w:r>
    </w:p>
    <w:p w:rsidR="00301E5C" w:rsidRPr="000832E4" w:rsidRDefault="00301E5C" w:rsidP="000832E4">
      <w:pPr>
        <w:spacing w:after="60"/>
        <w:jc w:val="both"/>
        <w:rPr>
          <w:color w:val="auto"/>
        </w:rPr>
      </w:pPr>
    </w:p>
    <w:p w:rsidR="00301E5C" w:rsidRPr="000832E4" w:rsidRDefault="00301E5C" w:rsidP="000832E4">
      <w:pPr>
        <w:spacing w:after="60"/>
        <w:jc w:val="both"/>
        <w:rPr>
          <w:color w:val="auto"/>
        </w:rPr>
      </w:pPr>
      <w:r w:rsidRPr="000832E4">
        <w:rPr>
          <w:b/>
          <w:color w:val="E36C0A" w:themeColor="accent6" w:themeShade="BF"/>
        </w:rPr>
        <w:t>Target 6.5</w:t>
      </w:r>
      <w:r w:rsidRPr="000832E4">
        <w:rPr>
          <w:b/>
          <w:color w:val="auto"/>
        </w:rPr>
        <w:t>: By 2030, implement integrated water resources management at all levels, including through transboundary cooperation as appropriate</w:t>
      </w:r>
    </w:p>
    <w:p w:rsidR="00301E5C" w:rsidRPr="000832E4" w:rsidRDefault="00301E5C" w:rsidP="000832E4">
      <w:pPr>
        <w:spacing w:after="60"/>
        <w:jc w:val="both"/>
      </w:pPr>
      <w:r w:rsidRPr="000832E4">
        <w:t xml:space="preserve">WWF supports the inclusion of both an IWRM and a transboundary indicator as priority indicators in order to accurately capture the full intention of target 6.5. We support the following indicator: “Percentage of international watercourses with a formal operational arrangement between all </w:t>
      </w:r>
      <w:proofErr w:type="spellStart"/>
      <w:r w:rsidRPr="000832E4">
        <w:t>riparians</w:t>
      </w:r>
      <w:proofErr w:type="spellEnd"/>
      <w:r w:rsidRPr="000832E4">
        <w:t xml:space="preserve"> for water cooperation disaggregated by inclusiveness of gender-specific arrangements, objectives and commitments.” This language uses terminology which is consistent with the UN Watercourses Convention, a global treaty adopted by the UN General Assembly in 1997. It is also in line with suggestions for gender-sensitive indicators by World Water Assessment Program/UNESCO.</w:t>
      </w:r>
    </w:p>
    <w:p w:rsidR="00301E5C" w:rsidRPr="000832E4" w:rsidRDefault="00301E5C" w:rsidP="000832E4">
      <w:pPr>
        <w:spacing w:after="60"/>
        <w:jc w:val="both"/>
        <w:rPr>
          <w:color w:val="auto"/>
        </w:rPr>
      </w:pPr>
    </w:p>
    <w:p w:rsidR="00E05EF4" w:rsidRPr="000832E4" w:rsidRDefault="00E05EF4" w:rsidP="000832E4">
      <w:pPr>
        <w:spacing w:after="60"/>
        <w:jc w:val="both"/>
        <w:rPr>
          <w:color w:val="auto"/>
        </w:rPr>
      </w:pPr>
      <w:r w:rsidRPr="000832E4">
        <w:rPr>
          <w:b/>
          <w:color w:val="E36C0A" w:themeColor="accent6" w:themeShade="BF"/>
        </w:rPr>
        <w:t>Target 7.a</w:t>
      </w:r>
      <w:r w:rsidRPr="000832E4">
        <w:rPr>
          <w:b/>
          <w:color w:val="auto"/>
        </w:rPr>
        <w:t>: 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rsidR="00E05EF4" w:rsidRPr="000832E4" w:rsidRDefault="00E05EF4" w:rsidP="000832E4">
      <w:pPr>
        <w:spacing w:after="60"/>
        <w:jc w:val="both"/>
        <w:rPr>
          <w:color w:val="auto"/>
        </w:rPr>
      </w:pPr>
      <w:r w:rsidRPr="000832E4">
        <w:rPr>
          <w:color w:val="auto"/>
        </w:rPr>
        <w:t>WWF would propose alternative or additional indicators on “Percentage of Renewable Energy investments of all energy investments” and “Percentage of energy efficiency investments of all energy investments”.</w:t>
      </w:r>
    </w:p>
    <w:p w:rsidR="00E05EF4" w:rsidRPr="000832E4" w:rsidRDefault="00E05EF4" w:rsidP="000832E4">
      <w:pPr>
        <w:spacing w:after="60"/>
        <w:jc w:val="both"/>
        <w:rPr>
          <w:color w:val="auto"/>
        </w:rPr>
      </w:pPr>
    </w:p>
    <w:p w:rsidR="00E05EF4" w:rsidRPr="000832E4" w:rsidRDefault="00E05EF4" w:rsidP="000832E4">
      <w:pPr>
        <w:spacing w:after="60"/>
        <w:jc w:val="both"/>
        <w:rPr>
          <w:color w:val="auto"/>
        </w:rPr>
      </w:pPr>
      <w:r w:rsidRPr="000832E4">
        <w:rPr>
          <w:b/>
          <w:color w:val="E36C0A" w:themeColor="accent6" w:themeShade="BF"/>
        </w:rPr>
        <w:t>Target 8.9</w:t>
      </w:r>
      <w:r w:rsidRPr="000832E4">
        <w:rPr>
          <w:b/>
          <w:color w:val="auto"/>
        </w:rPr>
        <w:t>: By 2030, devise and implement policies to promote sustainable tourism that creates jobs and promotes local culture and products</w:t>
      </w:r>
    </w:p>
    <w:p w:rsidR="00E05EF4" w:rsidRPr="000832E4" w:rsidRDefault="00E05EF4" w:rsidP="000832E4">
      <w:pPr>
        <w:spacing w:after="60"/>
        <w:jc w:val="both"/>
        <w:rPr>
          <w:color w:val="auto"/>
        </w:rPr>
      </w:pPr>
      <w:r w:rsidRPr="000832E4">
        <w:rPr>
          <w:color w:val="auto"/>
        </w:rPr>
        <w:t>WWF strongly supports the UNWTO proposal under 8.9.2 to replace the indicator ‘Tourism consumption” with “Environmental pressure indicator; residual flows and natural inputs...derived from a SEEA for Tourism” which would better reflect the intent of this target.</w:t>
      </w:r>
    </w:p>
    <w:p w:rsidR="00E05EF4" w:rsidRPr="000832E4" w:rsidRDefault="00E05EF4" w:rsidP="000832E4">
      <w:pPr>
        <w:spacing w:after="60"/>
        <w:jc w:val="both"/>
        <w:rPr>
          <w:color w:val="auto"/>
        </w:rPr>
      </w:pPr>
    </w:p>
    <w:p w:rsidR="007E3B0E" w:rsidRPr="000832E4" w:rsidRDefault="007E3B0E" w:rsidP="000832E4">
      <w:pPr>
        <w:spacing w:after="60"/>
        <w:jc w:val="both"/>
        <w:rPr>
          <w:b/>
          <w:color w:val="auto"/>
        </w:rPr>
      </w:pPr>
      <w:r w:rsidRPr="000832E4">
        <w:rPr>
          <w:b/>
          <w:color w:val="E36C0A" w:themeColor="accent6" w:themeShade="BF"/>
        </w:rPr>
        <w:t>Target 9.1</w:t>
      </w:r>
      <w:r w:rsidR="00AB4A8A" w:rsidRPr="000832E4">
        <w:rPr>
          <w:b/>
          <w:color w:val="auto"/>
        </w:rPr>
        <w:t xml:space="preserve"> </w:t>
      </w:r>
      <w:r w:rsidRPr="000832E4">
        <w:rPr>
          <w:b/>
          <w:color w:val="auto"/>
        </w:rPr>
        <w:t xml:space="preserve">Develop quality, reliable, sustainable and resilient infrastructure, including regional and </w:t>
      </w:r>
      <w:proofErr w:type="spellStart"/>
      <w:r w:rsidRPr="000832E4">
        <w:rPr>
          <w:b/>
          <w:color w:val="auto"/>
        </w:rPr>
        <w:t>transborder</w:t>
      </w:r>
      <w:proofErr w:type="spellEnd"/>
      <w:r w:rsidRPr="000832E4">
        <w:rPr>
          <w:b/>
          <w:color w:val="auto"/>
        </w:rPr>
        <w:t xml:space="preserve"> infrastructure, to support economic development and human well-being, with a focus on affordable and equitable access for all.</w:t>
      </w:r>
    </w:p>
    <w:p w:rsidR="00AB4A8A" w:rsidRDefault="00BC7D9C" w:rsidP="000832E4">
      <w:pPr>
        <w:spacing w:after="60"/>
        <w:jc w:val="both"/>
        <w:rPr>
          <w:color w:val="auto"/>
        </w:rPr>
      </w:pPr>
      <w:r w:rsidRPr="000832E4">
        <w:rPr>
          <w:color w:val="auto"/>
        </w:rPr>
        <w:t>The proposed indicator does not capture sustainability dimensions of this target</w:t>
      </w:r>
      <w:r w:rsidRPr="000832E4">
        <w:rPr>
          <w:color w:val="343434"/>
          <w:shd w:val="clear" w:color="auto" w:fill="FFFFFF"/>
        </w:rPr>
        <w:t>.</w:t>
      </w:r>
      <w:r w:rsidRPr="000832E4">
        <w:rPr>
          <w:b/>
          <w:color w:val="E36C0A" w:themeColor="accent6" w:themeShade="BF"/>
        </w:rPr>
        <w:t xml:space="preserve"> </w:t>
      </w:r>
      <w:r w:rsidR="007E3B0E" w:rsidRPr="000832E4">
        <w:rPr>
          <w:color w:val="auto"/>
        </w:rPr>
        <w:t>WWF proposes an additional indicator to</w:t>
      </w:r>
      <w:r w:rsidRPr="000832E4">
        <w:rPr>
          <w:color w:val="auto"/>
        </w:rPr>
        <w:t xml:space="preserve"> measure application of protective safeguards, without which infrastructure projects risk damaging the environment, climate, and communities—and actually hindering growth</w:t>
      </w:r>
      <w:r w:rsidR="007E3B0E" w:rsidRPr="000832E4">
        <w:rPr>
          <w:color w:val="auto"/>
        </w:rPr>
        <w:t>:</w:t>
      </w:r>
      <w:r w:rsidR="00AB4A8A" w:rsidRPr="000832E4">
        <w:rPr>
          <w:color w:val="auto"/>
        </w:rPr>
        <w:t xml:space="preserve"> </w:t>
      </w:r>
      <w:r w:rsidR="007E3B0E" w:rsidRPr="000832E4">
        <w:rPr>
          <w:color w:val="auto"/>
        </w:rPr>
        <w:t xml:space="preserve">"Number of infrastructure projects that meet </w:t>
      </w:r>
      <w:r w:rsidRPr="000832E4">
        <w:rPr>
          <w:color w:val="auto"/>
        </w:rPr>
        <w:t>best practice international standards for</w:t>
      </w:r>
      <w:r w:rsidR="007E3B0E" w:rsidRPr="000832E4">
        <w:rPr>
          <w:color w:val="auto"/>
        </w:rPr>
        <w:t xml:space="preserve"> social and environmental safeguards."</w:t>
      </w:r>
      <w:r w:rsidRPr="000832E4">
        <w:rPr>
          <w:color w:val="auto"/>
        </w:rPr>
        <w:t xml:space="preserve"> </w:t>
      </w:r>
      <w:proofErr w:type="gramStart"/>
      <w:r w:rsidRPr="000832E4">
        <w:rPr>
          <w:color w:val="auto"/>
        </w:rPr>
        <w:t>Source information (World Bank, regional development banks</w:t>
      </w:r>
      <w:r w:rsidR="000147B6" w:rsidRPr="000832E4">
        <w:rPr>
          <w:color w:val="auto"/>
        </w:rPr>
        <w:t>)</w:t>
      </w:r>
      <w:r w:rsidR="000832E4">
        <w:rPr>
          <w:color w:val="auto"/>
        </w:rPr>
        <w:t>.</w:t>
      </w:r>
      <w:proofErr w:type="gramEnd"/>
    </w:p>
    <w:p w:rsidR="000832E4" w:rsidRPr="000832E4" w:rsidRDefault="000832E4" w:rsidP="000832E4">
      <w:pPr>
        <w:spacing w:after="60"/>
        <w:jc w:val="both"/>
        <w:rPr>
          <w:color w:val="auto"/>
        </w:rPr>
      </w:pPr>
    </w:p>
    <w:p w:rsidR="007E3B0E" w:rsidRPr="000832E4" w:rsidRDefault="007E3B0E" w:rsidP="000832E4">
      <w:pPr>
        <w:spacing w:after="60"/>
        <w:jc w:val="both"/>
        <w:rPr>
          <w:b/>
          <w:color w:val="auto"/>
        </w:rPr>
      </w:pPr>
      <w:r w:rsidRPr="000832E4">
        <w:rPr>
          <w:b/>
          <w:color w:val="E36C0A" w:themeColor="accent6" w:themeShade="BF"/>
        </w:rPr>
        <w:lastRenderedPageBreak/>
        <w:t>Target 9.4</w:t>
      </w:r>
      <w:r w:rsidR="00AB4A8A" w:rsidRPr="000832E4">
        <w:rPr>
          <w:b/>
          <w:color w:val="auto"/>
        </w:rPr>
        <w:t xml:space="preserve"> </w:t>
      </w:r>
      <w:proofErr w:type="gramStart"/>
      <w:r w:rsidRPr="000832E4">
        <w:rPr>
          <w:b/>
          <w:color w:val="auto"/>
        </w:rPr>
        <w:t>By</w:t>
      </w:r>
      <w:proofErr w:type="gramEnd"/>
      <w:r w:rsidRPr="000832E4">
        <w:rPr>
          <w:b/>
          <w:color w:val="auto"/>
        </w:rPr>
        <w:t xml:space="preserve">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rsidR="00AB4A8A" w:rsidRDefault="000147B6" w:rsidP="000832E4">
      <w:pPr>
        <w:spacing w:after="60"/>
        <w:jc w:val="both"/>
        <w:rPr>
          <w:color w:val="auto"/>
        </w:rPr>
      </w:pPr>
      <w:r w:rsidRPr="000832E4">
        <w:rPr>
          <w:color w:val="auto"/>
        </w:rPr>
        <w:t>The proposed indicator does not capture sustainability dimensions of this target</w:t>
      </w:r>
      <w:r w:rsidRPr="000832E4">
        <w:rPr>
          <w:color w:val="343434"/>
          <w:shd w:val="clear" w:color="auto" w:fill="FFFFFF"/>
        </w:rPr>
        <w:t>.</w:t>
      </w:r>
      <w:r w:rsidRPr="000832E4">
        <w:rPr>
          <w:b/>
          <w:color w:val="E36C0A" w:themeColor="accent6" w:themeShade="BF"/>
        </w:rPr>
        <w:t xml:space="preserve"> </w:t>
      </w:r>
      <w:r w:rsidRPr="000832E4">
        <w:rPr>
          <w:color w:val="auto"/>
        </w:rPr>
        <w:t>WWF proposes an additional indicator to measure application of protective safeguards, without which infrastructure projects risk damaging the environment, climate, and communities—and actually hindering growth:</w:t>
      </w:r>
      <w:r w:rsidR="00AB4A8A" w:rsidRPr="000832E4">
        <w:rPr>
          <w:color w:val="auto"/>
        </w:rPr>
        <w:t xml:space="preserve"> </w:t>
      </w:r>
      <w:r w:rsidRPr="000832E4">
        <w:rPr>
          <w:color w:val="auto"/>
        </w:rPr>
        <w:t>"Number of infrastructure projects that meet best practice international standards for environmental and social safeguards." Source information (World Bank, regional development banks)</w:t>
      </w:r>
    </w:p>
    <w:p w:rsidR="000832E4" w:rsidRPr="000832E4" w:rsidRDefault="000832E4" w:rsidP="000832E4">
      <w:pPr>
        <w:spacing w:after="60"/>
        <w:jc w:val="both"/>
        <w:rPr>
          <w:color w:val="auto"/>
        </w:rPr>
      </w:pPr>
    </w:p>
    <w:p w:rsidR="00E05EF4" w:rsidRPr="000832E4" w:rsidRDefault="00E05EF4" w:rsidP="000832E4">
      <w:pPr>
        <w:spacing w:after="60"/>
        <w:jc w:val="both"/>
        <w:rPr>
          <w:color w:val="auto"/>
        </w:rPr>
      </w:pPr>
      <w:r w:rsidRPr="000832E4">
        <w:rPr>
          <w:b/>
          <w:color w:val="E36C0A" w:themeColor="accent6" w:themeShade="BF"/>
        </w:rPr>
        <w:t>Target 12.a</w:t>
      </w:r>
      <w:r w:rsidRPr="000832E4">
        <w:rPr>
          <w:b/>
          <w:color w:val="auto"/>
        </w:rPr>
        <w:t>: Support developing countries to strengthen their scientific and technological capacity to move towards more sustainable patterns of consumption and production</w:t>
      </w:r>
    </w:p>
    <w:p w:rsidR="00E05EF4" w:rsidRPr="000832E4" w:rsidRDefault="00E05EF4" w:rsidP="000832E4">
      <w:pPr>
        <w:spacing w:after="60"/>
        <w:jc w:val="both"/>
        <w:rPr>
          <w:color w:val="auto"/>
        </w:rPr>
      </w:pPr>
      <w:r w:rsidRPr="000832E4">
        <w:rPr>
          <w:color w:val="auto"/>
        </w:rPr>
        <w:t>WWF would propose an additional/alternative indicator:</w:t>
      </w:r>
      <w:r w:rsidR="003F518F" w:rsidRPr="000832E4">
        <w:rPr>
          <w:color w:val="auto"/>
        </w:rPr>
        <w:t xml:space="preserve"> </w:t>
      </w:r>
      <w:r w:rsidRPr="000832E4">
        <w:rPr>
          <w:color w:val="auto"/>
        </w:rPr>
        <w:t>“Percentage of credibly certified sustainable production (as defined by ISEAL http://www.isealalliance.org/our-members) of overall production” as proxy for ‘sustainable production”.</w:t>
      </w:r>
    </w:p>
    <w:p w:rsidR="00136FC2" w:rsidRPr="00136FC2" w:rsidRDefault="00136FC2" w:rsidP="001068C2">
      <w:pPr>
        <w:pStyle w:val="GRP006SubtitleLv2"/>
        <w:spacing w:before="120"/>
      </w:pPr>
      <w:r w:rsidRPr="00136FC2">
        <w:t>Improving measurement of environmental targets</w:t>
      </w:r>
    </w:p>
    <w:p w:rsidR="00E05EF4" w:rsidRPr="000832E4" w:rsidRDefault="00E05EF4" w:rsidP="000832E4">
      <w:pPr>
        <w:spacing w:after="60"/>
        <w:jc w:val="both"/>
        <w:rPr>
          <w:color w:val="auto"/>
        </w:rPr>
      </w:pPr>
      <w:r w:rsidRPr="000832E4">
        <w:rPr>
          <w:b/>
          <w:color w:val="E36C0A" w:themeColor="accent6" w:themeShade="BF"/>
        </w:rPr>
        <w:t>Target 13.a</w:t>
      </w:r>
      <w:r w:rsidRPr="000832E4">
        <w:rPr>
          <w:b/>
          <w:color w:val="auto"/>
        </w:rPr>
        <w:t>: 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w:t>
      </w:r>
    </w:p>
    <w:p w:rsidR="00AB4A8A" w:rsidRPr="000832E4" w:rsidRDefault="00E05EF4" w:rsidP="000832E4">
      <w:pPr>
        <w:spacing w:after="60"/>
        <w:jc w:val="both"/>
        <w:rPr>
          <w:color w:val="auto"/>
        </w:rPr>
      </w:pPr>
      <w:r w:rsidRPr="000832E4">
        <w:rPr>
          <w:color w:val="auto"/>
        </w:rPr>
        <w:t>The suggested indicator does not reflect the intent of the target.</w:t>
      </w:r>
      <w:r w:rsidR="003F518F" w:rsidRPr="000832E4">
        <w:rPr>
          <w:color w:val="auto"/>
        </w:rPr>
        <w:t xml:space="preserve"> </w:t>
      </w:r>
      <w:r w:rsidRPr="000832E4">
        <w:rPr>
          <w:color w:val="auto"/>
        </w:rPr>
        <w:t>WWF proposes to amend the indicator to read “Mobilized amo</w:t>
      </w:r>
      <w:bookmarkStart w:id="0" w:name="_GoBack"/>
      <w:bookmarkEnd w:id="0"/>
      <w:r w:rsidRPr="000832E4">
        <w:rPr>
          <w:color w:val="auto"/>
        </w:rPr>
        <w:t xml:space="preserve">unt of USD per year </w:t>
      </w:r>
      <w:r w:rsidRPr="000832E4">
        <w:rPr>
          <w:color w:val="auto"/>
          <w:u w:val="single"/>
        </w:rPr>
        <w:t>by</w:t>
      </w:r>
      <w:r w:rsidR="003F518F" w:rsidRPr="000832E4">
        <w:rPr>
          <w:color w:val="auto"/>
          <w:u w:val="single"/>
        </w:rPr>
        <w:t xml:space="preserve"> </w:t>
      </w:r>
      <w:r w:rsidRPr="000832E4">
        <w:rPr>
          <w:color w:val="auto"/>
        </w:rPr>
        <w:t xml:space="preserve">2020 accountable towards </w:t>
      </w:r>
      <w:r w:rsidRPr="000832E4">
        <w:rPr>
          <w:color w:val="auto"/>
          <w:u w:val="single"/>
        </w:rPr>
        <w:t>the developed country parties commitment to address the needs of developing countries for mitigation and adaptation action</w:t>
      </w:r>
      <w:r w:rsidRPr="000832E4">
        <w:rPr>
          <w:color w:val="auto"/>
        </w:rPr>
        <w:t>.”</w:t>
      </w:r>
    </w:p>
    <w:p w:rsidR="00E05EF4" w:rsidRPr="000832E4" w:rsidRDefault="00E05EF4" w:rsidP="000832E4">
      <w:pPr>
        <w:spacing w:after="60"/>
        <w:jc w:val="both"/>
        <w:rPr>
          <w:color w:val="auto"/>
        </w:rPr>
      </w:pPr>
    </w:p>
    <w:p w:rsidR="00E05EF4" w:rsidRPr="000832E4" w:rsidRDefault="00E05EF4" w:rsidP="000832E4">
      <w:pPr>
        <w:spacing w:after="60"/>
        <w:jc w:val="both"/>
        <w:rPr>
          <w:color w:val="auto"/>
        </w:rPr>
      </w:pPr>
      <w:r w:rsidRPr="000832E4">
        <w:rPr>
          <w:b/>
          <w:color w:val="E36C0A" w:themeColor="accent6" w:themeShade="BF"/>
        </w:rPr>
        <w:t>Target 14.1</w:t>
      </w:r>
      <w:r w:rsidRPr="000832E4">
        <w:rPr>
          <w:b/>
          <w:color w:val="auto"/>
        </w:rPr>
        <w:t>: By 2025, prevent and significantly reduce marine pollution of all kinds, in particular from land-based activities, including marine debris and nutrient pollution</w:t>
      </w:r>
    </w:p>
    <w:p w:rsidR="00AB4A8A" w:rsidRPr="000832E4" w:rsidRDefault="00E05EF4" w:rsidP="000832E4">
      <w:pPr>
        <w:spacing w:after="60"/>
        <w:jc w:val="both"/>
        <w:rPr>
          <w:color w:val="auto"/>
        </w:rPr>
      </w:pPr>
      <w:r w:rsidRPr="000832E4">
        <w:rPr>
          <w:color w:val="auto"/>
        </w:rPr>
        <w:t xml:space="preserve">The suggested indicator “Nitrogen use efficiency” does not adequately reflect the intent of the target. WWF suggests </w:t>
      </w:r>
      <w:proofErr w:type="gramStart"/>
      <w:r w:rsidRPr="000832E4">
        <w:rPr>
          <w:color w:val="auto"/>
        </w:rPr>
        <w:t>to replace</w:t>
      </w:r>
      <w:proofErr w:type="gramEnd"/>
      <w:r w:rsidRPr="000832E4">
        <w:rPr>
          <w:color w:val="auto"/>
        </w:rPr>
        <w:t xml:space="preserve"> it with the suite of HELCOM (Baltic Marine Environment Protection Commission) indicators in order to capture a more comprehensive set of pollution indicators.</w:t>
      </w:r>
      <w:r w:rsidR="003F518F" w:rsidRPr="000832E4">
        <w:rPr>
          <w:color w:val="auto"/>
        </w:rPr>
        <w:t xml:space="preserve"> </w:t>
      </w:r>
      <w:r w:rsidRPr="000832E4">
        <w:rPr>
          <w:color w:val="auto"/>
        </w:rPr>
        <w:t>Data are collected by regional seas organisations and national coastal management organisations. WWF supports proposed indicator 14.1.2 on the understanding that “all sources” includes non-land based sources.</w:t>
      </w:r>
      <w:r w:rsidR="003F518F" w:rsidRPr="000832E4">
        <w:rPr>
          <w:color w:val="auto"/>
        </w:rPr>
        <w:t xml:space="preserve"> </w:t>
      </w:r>
      <w:r w:rsidRPr="000832E4">
        <w:rPr>
          <w:color w:val="auto"/>
        </w:rPr>
        <w:t>Vessel based garbage into sea could be measured via proxy: MARPOL Annex V ratified and implemented by all flag states.</w:t>
      </w:r>
      <w:r w:rsidR="00EE3DBE" w:rsidRPr="000832E4">
        <w:rPr>
          <w:color w:val="auto"/>
        </w:rPr>
        <w:t xml:space="preserve"> </w:t>
      </w:r>
      <w:r w:rsidRPr="000832E4">
        <w:rPr>
          <w:color w:val="auto"/>
        </w:rPr>
        <w:t xml:space="preserve">Indicators for 14.1 can also be used to inform targets 6.3 and 6.6. The Red List Index and Living Planet Index of species threatened by pollution would also be of use and </w:t>
      </w:r>
      <w:r w:rsidR="004220EA" w:rsidRPr="000832E4">
        <w:rPr>
          <w:color w:val="auto"/>
        </w:rPr>
        <w:t>bring</w:t>
      </w:r>
      <w:r w:rsidRPr="000832E4">
        <w:rPr>
          <w:color w:val="auto"/>
        </w:rPr>
        <w:t xml:space="preserve"> interlinkages with other targets.</w:t>
      </w:r>
    </w:p>
    <w:p w:rsidR="00E05EF4" w:rsidRPr="000832E4" w:rsidRDefault="00E05EF4" w:rsidP="000832E4">
      <w:pPr>
        <w:spacing w:after="60"/>
        <w:jc w:val="both"/>
        <w:rPr>
          <w:color w:val="auto"/>
        </w:rPr>
      </w:pPr>
    </w:p>
    <w:p w:rsidR="00E05EF4" w:rsidRPr="000832E4" w:rsidRDefault="00E05EF4" w:rsidP="000832E4">
      <w:pPr>
        <w:spacing w:after="60"/>
        <w:jc w:val="both"/>
        <w:rPr>
          <w:color w:val="auto"/>
        </w:rPr>
      </w:pPr>
      <w:r w:rsidRPr="000832E4">
        <w:rPr>
          <w:b/>
          <w:color w:val="E36C0A" w:themeColor="accent6" w:themeShade="BF"/>
        </w:rPr>
        <w:t>Target 14.b</w:t>
      </w:r>
      <w:r w:rsidRPr="000832E4">
        <w:rPr>
          <w:b/>
          <w:color w:val="auto"/>
        </w:rPr>
        <w:t>: Provide access for small-scale artisanal fishers to marine resources and markets</w:t>
      </w:r>
    </w:p>
    <w:p w:rsidR="00136FC2" w:rsidRPr="000832E4" w:rsidRDefault="00E05EF4" w:rsidP="000832E4">
      <w:pPr>
        <w:spacing w:after="60"/>
        <w:jc w:val="both"/>
        <w:rPr>
          <w:color w:val="auto"/>
        </w:rPr>
      </w:pPr>
      <w:r w:rsidRPr="000832E4">
        <w:rPr>
          <w:color w:val="auto"/>
        </w:rPr>
        <w:t>WWF suggests moving the suggested indicator to 14.4 and replacing it with “Improved capacity (number/proportion of trained staff) within key stakeholders to manage small scale fisheries and enhance coordination and collaboration between fisheries and p</w:t>
      </w:r>
      <w:r w:rsidR="00EE3DBE" w:rsidRPr="000832E4">
        <w:rPr>
          <w:color w:val="auto"/>
        </w:rPr>
        <w:t xml:space="preserve">olicy management institutions.” </w:t>
      </w:r>
      <w:proofErr w:type="gramStart"/>
      <w:r w:rsidRPr="000832E4">
        <w:rPr>
          <w:color w:val="auto"/>
        </w:rPr>
        <w:t>Source</w:t>
      </w:r>
      <w:r w:rsidR="00EE3DBE" w:rsidRPr="000832E4">
        <w:rPr>
          <w:color w:val="auto"/>
        </w:rPr>
        <w:t xml:space="preserve"> </w:t>
      </w:r>
      <w:r w:rsidRPr="000832E4">
        <w:rPr>
          <w:color w:val="auto"/>
        </w:rPr>
        <w:t>FAO voluntary guidelines for small scale fisheries.</w:t>
      </w:r>
      <w:proofErr w:type="gramEnd"/>
    </w:p>
    <w:p w:rsidR="00136FC2" w:rsidRPr="000832E4" w:rsidRDefault="00136FC2" w:rsidP="000832E4">
      <w:pPr>
        <w:spacing w:after="60"/>
        <w:jc w:val="both"/>
        <w:rPr>
          <w:color w:val="auto"/>
        </w:rPr>
      </w:pPr>
      <w:r w:rsidRPr="000832E4">
        <w:rPr>
          <w:b/>
          <w:color w:val="E36C0A" w:themeColor="accent6" w:themeShade="BF"/>
        </w:rPr>
        <w:lastRenderedPageBreak/>
        <w:t>Target 15.1</w:t>
      </w:r>
      <w:r w:rsidRPr="000832E4">
        <w:rPr>
          <w:b/>
          <w:color w:val="auto"/>
        </w:rPr>
        <w:t>: By 2020, ensure the conservation, restoration and sustainable use of terrestrial and inland freshwater ecosystems and their services, in particular forests, wetlands, mountains and drylands, in line with obligations under international agreements</w:t>
      </w:r>
    </w:p>
    <w:p w:rsidR="00136FC2" w:rsidRPr="000832E4" w:rsidRDefault="00136FC2" w:rsidP="000832E4">
      <w:pPr>
        <w:spacing w:after="60"/>
        <w:jc w:val="both"/>
        <w:rPr>
          <w:color w:val="auto"/>
        </w:rPr>
      </w:pPr>
      <w:r w:rsidRPr="000832E4">
        <w:rPr>
          <w:color w:val="auto"/>
        </w:rPr>
        <w:t>WWF suggests amending the suggested indicator “Forest area as a percentage of total land area” to harmonize with the BIP definition: “Percentage of change in forest extent over time”. This would work in tandem with the similar wetlands indicator under target 6.6. The data could be obtained through digitization of aerial or satellite images where available and otherwise rely on FAO resource assessments. The data could be disaggregated by forest type, and should distinguish natural forests from plantations. Regional and global datasets are already available from 1990 to the present. It could also be supplemented with additional BIP indicators to provide a larger picture of the extent of conservation or restoration (e.g. The Living Planet Index, Red List Index, PA cover and PA management effectiveness)</w:t>
      </w:r>
    </w:p>
    <w:p w:rsidR="00136FC2" w:rsidRPr="000832E4" w:rsidRDefault="00136FC2" w:rsidP="000832E4">
      <w:pPr>
        <w:spacing w:after="60"/>
        <w:jc w:val="both"/>
        <w:rPr>
          <w:color w:val="auto"/>
        </w:rPr>
      </w:pPr>
    </w:p>
    <w:p w:rsidR="00136FC2" w:rsidRPr="000832E4" w:rsidRDefault="00136FC2" w:rsidP="000832E4">
      <w:pPr>
        <w:spacing w:after="60"/>
        <w:jc w:val="both"/>
        <w:rPr>
          <w:color w:val="auto"/>
        </w:rPr>
      </w:pPr>
      <w:r w:rsidRPr="000832E4">
        <w:rPr>
          <w:b/>
          <w:color w:val="E36C0A" w:themeColor="accent6" w:themeShade="BF"/>
        </w:rPr>
        <w:t>Target 15.2</w:t>
      </w:r>
      <w:r w:rsidRPr="000832E4">
        <w:rPr>
          <w:b/>
          <w:color w:val="auto"/>
        </w:rPr>
        <w:t>: By 2020, promote the implementation of sustainable management of all types of forests, halt deforestation, restore degraded forests and substantially increase afforestation and reforestation globally</w:t>
      </w:r>
    </w:p>
    <w:p w:rsidR="00136FC2" w:rsidRPr="000832E4" w:rsidRDefault="00136FC2" w:rsidP="000832E4">
      <w:pPr>
        <w:spacing w:after="60"/>
        <w:jc w:val="both"/>
        <w:rPr>
          <w:color w:val="auto"/>
        </w:rPr>
      </w:pPr>
      <w:r w:rsidRPr="000832E4">
        <w:rPr>
          <w:color w:val="auto"/>
        </w:rPr>
        <w:t>WWF suggests the indicator “Area of forest under Sustainable Management Certification”. Certification is geographically precise and is a strong verifier of better levels of management. PEFC and FSC schemes currently cover 400 million ha -- a decent proportion of the world's production forests, and this portion should grow if forest management improves in line with the SDG target. While this is only around 10% of total forests, it could be as much as 40% of forests under active management. This indicator could be complemented by FAO’s proposed index which would ensure that no areas are excluded, i.e. production systems where certification is not feasible due to high transaction costs. It could also be supplemented with additional BIP indicators to provide a larger picture of the extent of sustainable management and the reduction in forest loss (e.g. The Living Planet Index, Red List Index, PA cover and PA management effectiveness).</w:t>
      </w:r>
    </w:p>
    <w:p w:rsidR="00136FC2" w:rsidRPr="000832E4" w:rsidRDefault="00136FC2" w:rsidP="000832E4">
      <w:pPr>
        <w:spacing w:after="60"/>
        <w:jc w:val="both"/>
        <w:rPr>
          <w:color w:val="auto"/>
        </w:rPr>
      </w:pPr>
    </w:p>
    <w:p w:rsidR="00F35CA5" w:rsidRPr="000832E4" w:rsidRDefault="00F35CA5" w:rsidP="000832E4">
      <w:pPr>
        <w:spacing w:after="60"/>
        <w:jc w:val="both"/>
        <w:rPr>
          <w:color w:val="auto"/>
        </w:rPr>
      </w:pPr>
      <w:r w:rsidRPr="000832E4">
        <w:rPr>
          <w:b/>
          <w:color w:val="E36C0A" w:themeColor="accent6" w:themeShade="BF"/>
        </w:rPr>
        <w:t>Target 15.7:</w:t>
      </w:r>
      <w:r w:rsidRPr="000832E4">
        <w:rPr>
          <w:b/>
          <w:color w:val="auto"/>
        </w:rPr>
        <w:t xml:space="preserve"> Take urgent action to end poaching and trafficking of protected species of flora and fauna and address both demand and supply of illegal wildlife products</w:t>
      </w:r>
    </w:p>
    <w:p w:rsidR="00F35CA5" w:rsidRPr="000832E4" w:rsidRDefault="00F35CA5" w:rsidP="000832E4">
      <w:pPr>
        <w:spacing w:after="60"/>
        <w:jc w:val="both"/>
        <w:rPr>
          <w:color w:val="auto"/>
        </w:rPr>
      </w:pPr>
      <w:r w:rsidRPr="000832E4">
        <w:rPr>
          <w:color w:val="auto"/>
        </w:rPr>
        <w:t xml:space="preserve">WWF supports the inclusion of 15.7.1 Red List Index for species in trade, especially if used with the Living Planet Index for species in trade. Both are established BIP indicators. We also support 15.7.2 as an established indicator managed by CITES that more directly measures the Target. It could be the primary indicator if supported by the </w:t>
      </w:r>
      <w:proofErr w:type="spellStart"/>
      <w:r w:rsidRPr="000832E4">
        <w:rPr>
          <w:color w:val="auto"/>
        </w:rPr>
        <w:t>RLI</w:t>
      </w:r>
      <w:proofErr w:type="spellEnd"/>
      <w:r w:rsidRPr="000832E4">
        <w:rPr>
          <w:color w:val="auto"/>
        </w:rPr>
        <w:t xml:space="preserve"> and Living </w:t>
      </w:r>
      <w:proofErr w:type="spellStart"/>
      <w:r w:rsidRPr="000832E4">
        <w:rPr>
          <w:color w:val="auto"/>
        </w:rPr>
        <w:t>PIanet</w:t>
      </w:r>
      <w:proofErr w:type="spellEnd"/>
      <w:r w:rsidRPr="000832E4">
        <w:rPr>
          <w:color w:val="auto"/>
        </w:rPr>
        <w:t xml:space="preserve"> Index; it’s linked to targets 16.4 and 16.5. Clarity is needed on use of the term “protected”. For 15.7.2, data concern species protected within a defined framework (CITES) but overlook non-CITES-listed species regulated under forestry/fisheries management regimes and trafficked illegally. Combined with data collection challenges, it would underestimate illegal wildlife trade. The RLI and LPI include a broad range of species and provide a basis to assess species status but do not always distinguish between legal and illegal trade: their utility for trafficked species is limited unless linked to trade systems through 15.7.2.</w:t>
      </w:r>
    </w:p>
    <w:p w:rsidR="000832E4" w:rsidRDefault="000832E4">
      <w:pPr>
        <w:spacing w:line="240" w:lineRule="auto"/>
        <w:rPr>
          <w:color w:val="auto"/>
        </w:rPr>
      </w:pPr>
      <w:r>
        <w:rPr>
          <w:color w:val="auto"/>
        </w:rPr>
        <w:br w:type="page"/>
      </w:r>
    </w:p>
    <w:p w:rsidR="0002158A" w:rsidRPr="00542700" w:rsidRDefault="00542700" w:rsidP="000832E4">
      <w:pPr>
        <w:pStyle w:val="GRP006SubtitleLv2"/>
      </w:pPr>
      <w:r>
        <w:lastRenderedPageBreak/>
        <w:t xml:space="preserve">Using </w:t>
      </w:r>
      <w:r w:rsidR="0002158A" w:rsidRPr="00542700">
        <w:t>a suite of indicators to better inform biodiversity-related targets while restricting the total number of indicators required across the framework</w:t>
      </w:r>
    </w:p>
    <w:p w:rsidR="00C6266B" w:rsidRPr="000832E4" w:rsidRDefault="00E05EF4" w:rsidP="00C6266B">
      <w:pPr>
        <w:jc w:val="both"/>
        <w:rPr>
          <w:color w:val="auto"/>
        </w:rPr>
      </w:pPr>
      <w:r w:rsidRPr="000832E4">
        <w:rPr>
          <w:color w:val="auto"/>
        </w:rPr>
        <w:t xml:space="preserve">Many of the targets with relevance to the environment </w:t>
      </w:r>
      <w:r w:rsidR="00136FC2" w:rsidRPr="000832E4">
        <w:rPr>
          <w:color w:val="auto"/>
        </w:rPr>
        <w:t xml:space="preserve">(6.6, 14.2, 14.4, 14.5, 15.1, 15.2, 15.4, 15.5, 15.7, </w:t>
      </w:r>
      <w:proofErr w:type="gramStart"/>
      <w:r w:rsidR="00136FC2" w:rsidRPr="000832E4">
        <w:rPr>
          <w:color w:val="auto"/>
        </w:rPr>
        <w:t>15.8</w:t>
      </w:r>
      <w:proofErr w:type="gramEnd"/>
      <w:r w:rsidR="00136FC2" w:rsidRPr="000832E4">
        <w:rPr>
          <w:color w:val="auto"/>
        </w:rPr>
        <w:t xml:space="preserve">) </w:t>
      </w:r>
      <w:r w:rsidRPr="000832E4">
        <w:rPr>
          <w:color w:val="auto"/>
        </w:rPr>
        <w:t>can be measured by a small cluster of well-established indicators developed scientifically by the Biodiversi</w:t>
      </w:r>
      <w:r w:rsidR="00C6266B" w:rsidRPr="000832E4">
        <w:rPr>
          <w:color w:val="auto"/>
        </w:rPr>
        <w:t>ty Indicator Partnership (</w:t>
      </w:r>
      <w:proofErr w:type="spellStart"/>
      <w:r w:rsidR="00C6266B" w:rsidRPr="000832E4">
        <w:rPr>
          <w:color w:val="auto"/>
        </w:rPr>
        <w:t>BIP</w:t>
      </w:r>
      <w:proofErr w:type="spellEnd"/>
      <w:r w:rsidR="00C6266B" w:rsidRPr="000832E4">
        <w:rPr>
          <w:color w:val="auto"/>
        </w:rPr>
        <w:t>).</w:t>
      </w:r>
      <w:r w:rsidR="000832E4" w:rsidRPr="000832E4">
        <w:rPr>
          <w:color w:val="auto"/>
        </w:rPr>
        <w:t xml:space="preserve"> </w:t>
      </w:r>
      <w:r w:rsidR="00C6266B" w:rsidRPr="000832E4">
        <w:rPr>
          <w:color w:val="auto"/>
        </w:rPr>
        <w:t>The primary indicators are: (a) The Living Planet Index (LPI), Database available and managed by WWF/ZSL; (b) The Red List Index (</w:t>
      </w:r>
      <w:proofErr w:type="spellStart"/>
      <w:r w:rsidR="00C6266B" w:rsidRPr="000832E4">
        <w:rPr>
          <w:color w:val="auto"/>
        </w:rPr>
        <w:t>RLI</w:t>
      </w:r>
      <w:proofErr w:type="spellEnd"/>
      <w:r w:rsidR="00C6266B" w:rsidRPr="000832E4">
        <w:rPr>
          <w:color w:val="auto"/>
        </w:rPr>
        <w:t>),</w:t>
      </w:r>
      <w:r w:rsidR="000832E4" w:rsidRPr="000832E4">
        <w:rPr>
          <w:color w:val="auto"/>
        </w:rPr>
        <w:t xml:space="preserve"> </w:t>
      </w:r>
      <w:r w:rsidR="00C6266B" w:rsidRPr="000832E4">
        <w:rPr>
          <w:color w:val="auto"/>
        </w:rPr>
        <w:t>Database available and managed by IUCN; (c) Coverage of Protected Areas (PA cover), World Database on Protected Areas managed by UNEP-WCMC and IUCN WCPA; (d) PA management effectiveness (PAME), Global Database on PA Management Effectiveness managed by UNEP-WCMC, IUCN WCPA, Universities of Queensland and Oxford; and (e) Habitat cover, several remote sensing databases exist for this purpose - e.g. NASA, ESA, Google Earth, University of Maryland. We also actively encourage the use of other BIP indicators where they enhance the overall picture for any given target (e.g. area of forest under certification, River Connectivity Index, an improved Ocean Health Index, etc.).</w:t>
      </w:r>
    </w:p>
    <w:p w:rsidR="00C6266B" w:rsidRPr="000832E4" w:rsidRDefault="00C6266B" w:rsidP="00E05EF4">
      <w:pPr>
        <w:jc w:val="both"/>
        <w:rPr>
          <w:color w:val="auto"/>
        </w:rPr>
      </w:pPr>
    </w:p>
    <w:p w:rsidR="00534CA7" w:rsidRPr="000832E4" w:rsidRDefault="00E05EF4" w:rsidP="00E05EF4">
      <w:pPr>
        <w:jc w:val="both"/>
        <w:rPr>
          <w:color w:val="auto"/>
        </w:rPr>
      </w:pPr>
      <w:r w:rsidRPr="000832E4">
        <w:rPr>
          <w:color w:val="auto"/>
        </w:rPr>
        <w:t>In these cases, countries could be provided with time series data from existing databases at no or minimal cost. Although several indicators would be used to monitor one target, using the same indicators for multiple targets would ultimately reduce the overall number of indicators employed. The interlinkages across goals and targets can be made with the fo</w:t>
      </w:r>
      <w:r w:rsidR="00EE3DBE" w:rsidRPr="000832E4">
        <w:rPr>
          <w:color w:val="auto"/>
        </w:rPr>
        <w:t>llowing cluster of indicators</w:t>
      </w:r>
      <w:r w:rsidR="00534CA7" w:rsidRPr="000832E4">
        <w:rPr>
          <w:color w:val="auto"/>
        </w:rPr>
        <w:t>:</w:t>
      </w:r>
    </w:p>
    <w:p w:rsidR="00301E5C" w:rsidRPr="000832E4" w:rsidRDefault="00301E5C" w:rsidP="00E05EF4">
      <w:pPr>
        <w:jc w:val="both"/>
        <w:rPr>
          <w:color w:val="auto"/>
        </w:rPr>
      </w:pPr>
    </w:p>
    <w:p w:rsidR="00F00AEF" w:rsidRPr="000832E4" w:rsidRDefault="00F00AEF" w:rsidP="00E05EF4">
      <w:pPr>
        <w:jc w:val="both"/>
        <w:rPr>
          <w:color w:val="auto"/>
        </w:rPr>
      </w:pPr>
    </w:p>
    <w:tbl>
      <w:tblPr>
        <w:tblW w:w="80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35"/>
        <w:gridCol w:w="1230"/>
        <w:gridCol w:w="1080"/>
        <w:gridCol w:w="1365"/>
        <w:gridCol w:w="1365"/>
        <w:gridCol w:w="1650"/>
      </w:tblGrid>
      <w:tr w:rsidR="00E05EF4" w:rsidRPr="00143084" w:rsidTr="00C6266B">
        <w:trPr>
          <w:trHeight w:val="57"/>
          <w:jc w:val="center"/>
        </w:trPr>
        <w:tc>
          <w:tcPr>
            <w:tcW w:w="13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Target</w:t>
            </w:r>
          </w:p>
        </w:tc>
        <w:tc>
          <w:tcPr>
            <w:tcW w:w="6690" w:type="dxa"/>
            <w:gridSpan w:val="5"/>
            <w:tcBorders>
              <w:top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Multiple use BIP indicators</w:t>
            </w:r>
          </w:p>
        </w:tc>
      </w:tr>
      <w:tr w:rsidR="00E05EF4" w:rsidRPr="00143084" w:rsidTr="00C6266B">
        <w:trPr>
          <w:trHeight w:val="129"/>
          <w:jc w:val="center"/>
        </w:trPr>
        <w:tc>
          <w:tcPr>
            <w:tcW w:w="1335" w:type="dxa"/>
            <w:vMerge/>
            <w:tcMar>
              <w:top w:w="100" w:type="dxa"/>
              <w:left w:w="100" w:type="dxa"/>
              <w:bottom w:w="100" w:type="dxa"/>
              <w:right w:w="100" w:type="dxa"/>
            </w:tcMar>
          </w:tcPr>
          <w:p w:rsidR="00E05EF4" w:rsidRPr="00143084" w:rsidRDefault="00E05EF4" w:rsidP="00C6266B">
            <w:pPr>
              <w:widowControl w:val="0"/>
              <w:rPr>
                <w:rFonts w:ascii="Arial Narrow" w:hAnsi="Arial Narrow"/>
                <w:color w:val="auto"/>
                <w:sz w:val="20"/>
                <w:szCs w:val="20"/>
              </w:rPr>
            </w:pPr>
          </w:p>
        </w:tc>
        <w:tc>
          <w:tcPr>
            <w:tcW w:w="123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L</w:t>
            </w:r>
            <w:r w:rsidR="00542700">
              <w:rPr>
                <w:rFonts w:ascii="Arial Narrow" w:eastAsia="Times New Roman" w:hAnsi="Arial Narrow" w:cs="Times New Roman"/>
                <w:color w:val="auto"/>
                <w:sz w:val="20"/>
                <w:szCs w:val="20"/>
              </w:rPr>
              <w:t xml:space="preserve">iving </w:t>
            </w:r>
            <w:proofErr w:type="spellStart"/>
            <w:r w:rsidRPr="00143084">
              <w:rPr>
                <w:rFonts w:ascii="Arial Narrow" w:eastAsia="Times New Roman" w:hAnsi="Arial Narrow" w:cs="Times New Roman"/>
                <w:color w:val="auto"/>
                <w:sz w:val="20"/>
                <w:szCs w:val="20"/>
              </w:rPr>
              <w:t>P</w:t>
            </w:r>
            <w:r w:rsidR="00542700">
              <w:rPr>
                <w:rFonts w:ascii="Arial Narrow" w:eastAsia="Times New Roman" w:hAnsi="Arial Narrow" w:cs="Times New Roman"/>
                <w:color w:val="auto"/>
                <w:sz w:val="20"/>
                <w:szCs w:val="20"/>
              </w:rPr>
              <w:t>anet</w:t>
            </w:r>
            <w:proofErr w:type="spellEnd"/>
            <w:r w:rsidR="00542700">
              <w:rPr>
                <w:rFonts w:ascii="Arial Narrow" w:eastAsia="Times New Roman" w:hAnsi="Arial Narrow" w:cs="Times New Roman"/>
                <w:color w:val="auto"/>
                <w:sz w:val="20"/>
                <w:szCs w:val="20"/>
              </w:rPr>
              <w:t xml:space="preserve"> Index</w:t>
            </w:r>
          </w:p>
        </w:tc>
        <w:tc>
          <w:tcPr>
            <w:tcW w:w="1080" w:type="dxa"/>
            <w:tcBorders>
              <w:bottom w:val="single" w:sz="8" w:space="0" w:color="000000"/>
              <w:right w:val="single" w:sz="8" w:space="0" w:color="000000"/>
            </w:tcBorders>
            <w:tcMar>
              <w:top w:w="100" w:type="dxa"/>
              <w:left w:w="100" w:type="dxa"/>
              <w:bottom w:w="100" w:type="dxa"/>
              <w:right w:w="100" w:type="dxa"/>
            </w:tcMar>
          </w:tcPr>
          <w:p w:rsidR="00E05EF4" w:rsidRDefault="00E05EF4" w:rsidP="00C6266B">
            <w:pPr>
              <w:jc w:val="center"/>
              <w:rPr>
                <w:rFonts w:ascii="Arial Narrow" w:eastAsia="Times New Roman" w:hAnsi="Arial Narrow" w:cs="Times New Roman"/>
                <w:color w:val="auto"/>
                <w:sz w:val="20"/>
                <w:szCs w:val="20"/>
              </w:rPr>
            </w:pPr>
            <w:r w:rsidRPr="00143084">
              <w:rPr>
                <w:rFonts w:ascii="Arial Narrow" w:eastAsia="Times New Roman" w:hAnsi="Arial Narrow" w:cs="Times New Roman"/>
                <w:color w:val="auto"/>
                <w:sz w:val="20"/>
                <w:szCs w:val="20"/>
              </w:rPr>
              <w:t>R</w:t>
            </w:r>
            <w:r w:rsidR="00542700">
              <w:rPr>
                <w:rFonts w:ascii="Arial Narrow" w:eastAsia="Times New Roman" w:hAnsi="Arial Narrow" w:cs="Times New Roman"/>
                <w:color w:val="auto"/>
                <w:sz w:val="20"/>
                <w:szCs w:val="20"/>
              </w:rPr>
              <w:t xml:space="preserve">ed </w:t>
            </w:r>
            <w:r w:rsidRPr="00143084">
              <w:rPr>
                <w:rFonts w:ascii="Arial Narrow" w:eastAsia="Times New Roman" w:hAnsi="Arial Narrow" w:cs="Times New Roman"/>
                <w:color w:val="auto"/>
                <w:sz w:val="20"/>
                <w:szCs w:val="20"/>
              </w:rPr>
              <w:t>L</w:t>
            </w:r>
            <w:r w:rsidR="00542700">
              <w:rPr>
                <w:rFonts w:ascii="Arial Narrow" w:eastAsia="Times New Roman" w:hAnsi="Arial Narrow" w:cs="Times New Roman"/>
                <w:color w:val="auto"/>
                <w:sz w:val="20"/>
                <w:szCs w:val="20"/>
              </w:rPr>
              <w:t>ist</w:t>
            </w:r>
          </w:p>
          <w:p w:rsidR="00542700" w:rsidRPr="00143084" w:rsidRDefault="00542700" w:rsidP="00C6266B">
            <w:pPr>
              <w:jc w:val="center"/>
              <w:rPr>
                <w:rFonts w:ascii="Arial Narrow" w:hAnsi="Arial Narrow"/>
                <w:color w:val="auto"/>
                <w:sz w:val="20"/>
                <w:szCs w:val="20"/>
              </w:rPr>
            </w:pPr>
            <w:r>
              <w:rPr>
                <w:rFonts w:ascii="Arial Narrow" w:eastAsia="Times New Roman" w:hAnsi="Arial Narrow" w:cs="Times New Roman"/>
                <w:color w:val="auto"/>
                <w:sz w:val="20"/>
                <w:szCs w:val="20"/>
              </w:rPr>
              <w:t>Index</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P</w:t>
            </w:r>
            <w:r w:rsidR="00542700">
              <w:rPr>
                <w:rFonts w:ascii="Arial Narrow" w:eastAsia="Times New Roman" w:hAnsi="Arial Narrow" w:cs="Times New Roman"/>
                <w:color w:val="auto"/>
                <w:sz w:val="20"/>
                <w:szCs w:val="20"/>
              </w:rPr>
              <w:t xml:space="preserve">rotected </w:t>
            </w:r>
            <w:r w:rsidRPr="00143084">
              <w:rPr>
                <w:rFonts w:ascii="Arial Narrow" w:eastAsia="Times New Roman" w:hAnsi="Arial Narrow" w:cs="Times New Roman"/>
                <w:color w:val="auto"/>
                <w:sz w:val="20"/>
                <w:szCs w:val="20"/>
              </w:rPr>
              <w:t>A</w:t>
            </w:r>
            <w:r w:rsidR="00542700">
              <w:rPr>
                <w:rFonts w:ascii="Arial Narrow" w:eastAsia="Times New Roman" w:hAnsi="Arial Narrow" w:cs="Times New Roman"/>
                <w:color w:val="auto"/>
                <w:sz w:val="20"/>
                <w:szCs w:val="20"/>
              </w:rPr>
              <w:t>rea</w:t>
            </w:r>
            <w:r w:rsidRPr="00143084">
              <w:rPr>
                <w:rFonts w:ascii="Arial Narrow" w:eastAsia="Times New Roman" w:hAnsi="Arial Narrow" w:cs="Times New Roman"/>
                <w:color w:val="auto"/>
                <w:sz w:val="20"/>
                <w:szCs w:val="20"/>
              </w:rPr>
              <w:t xml:space="preserve"> cover</w:t>
            </w:r>
          </w:p>
        </w:tc>
        <w:tc>
          <w:tcPr>
            <w:tcW w:w="1365" w:type="dxa"/>
            <w:tcBorders>
              <w:bottom w:val="single" w:sz="8" w:space="0" w:color="000000"/>
              <w:right w:val="single" w:sz="8" w:space="0" w:color="000000"/>
            </w:tcBorders>
            <w:tcMar>
              <w:top w:w="100" w:type="dxa"/>
              <w:left w:w="100" w:type="dxa"/>
              <w:bottom w:w="100" w:type="dxa"/>
              <w:right w:w="100" w:type="dxa"/>
            </w:tcMar>
          </w:tcPr>
          <w:p w:rsidR="00C6266B" w:rsidRDefault="00E05EF4" w:rsidP="00C6266B">
            <w:pPr>
              <w:jc w:val="center"/>
              <w:rPr>
                <w:rFonts w:ascii="Arial Narrow" w:eastAsia="Times New Roman" w:hAnsi="Arial Narrow" w:cs="Times New Roman"/>
                <w:color w:val="auto"/>
                <w:sz w:val="20"/>
                <w:szCs w:val="20"/>
              </w:rPr>
            </w:pPr>
            <w:r w:rsidRPr="00143084">
              <w:rPr>
                <w:rFonts w:ascii="Arial Narrow" w:eastAsia="Times New Roman" w:hAnsi="Arial Narrow" w:cs="Times New Roman"/>
                <w:color w:val="auto"/>
                <w:sz w:val="20"/>
                <w:szCs w:val="20"/>
              </w:rPr>
              <w:t>P</w:t>
            </w:r>
            <w:r w:rsidR="00542700">
              <w:rPr>
                <w:rFonts w:ascii="Arial Narrow" w:eastAsia="Times New Roman" w:hAnsi="Arial Narrow" w:cs="Times New Roman"/>
                <w:color w:val="auto"/>
                <w:sz w:val="20"/>
                <w:szCs w:val="20"/>
              </w:rPr>
              <w:t xml:space="preserve">rotected </w:t>
            </w:r>
            <w:r w:rsidRPr="00143084">
              <w:rPr>
                <w:rFonts w:ascii="Arial Narrow" w:eastAsia="Times New Roman" w:hAnsi="Arial Narrow" w:cs="Times New Roman"/>
                <w:color w:val="auto"/>
                <w:sz w:val="20"/>
                <w:szCs w:val="20"/>
              </w:rPr>
              <w:t>A</w:t>
            </w:r>
            <w:r w:rsidR="00542700">
              <w:rPr>
                <w:rFonts w:ascii="Arial Narrow" w:eastAsia="Times New Roman" w:hAnsi="Arial Narrow" w:cs="Times New Roman"/>
                <w:color w:val="auto"/>
                <w:sz w:val="20"/>
                <w:szCs w:val="20"/>
              </w:rPr>
              <w:t xml:space="preserve">rea </w:t>
            </w:r>
            <w:r w:rsidRPr="00143084">
              <w:rPr>
                <w:rFonts w:ascii="Arial Narrow" w:eastAsia="Times New Roman" w:hAnsi="Arial Narrow" w:cs="Times New Roman"/>
                <w:color w:val="auto"/>
                <w:sz w:val="20"/>
                <w:szCs w:val="20"/>
              </w:rPr>
              <w:t>M</w:t>
            </w:r>
            <w:r w:rsidR="00C6266B">
              <w:rPr>
                <w:rFonts w:ascii="Arial Narrow" w:eastAsia="Times New Roman" w:hAnsi="Arial Narrow" w:cs="Times New Roman"/>
                <w:color w:val="auto"/>
                <w:sz w:val="20"/>
                <w:szCs w:val="20"/>
              </w:rPr>
              <w:t>anagement</w:t>
            </w:r>
          </w:p>
          <w:p w:rsidR="00E05EF4" w:rsidRPr="00143084" w:rsidRDefault="00C6266B" w:rsidP="00C6266B">
            <w:pPr>
              <w:jc w:val="center"/>
              <w:rPr>
                <w:rFonts w:ascii="Arial Narrow" w:hAnsi="Arial Narrow"/>
                <w:color w:val="auto"/>
                <w:sz w:val="20"/>
                <w:szCs w:val="20"/>
              </w:rPr>
            </w:pPr>
            <w:r>
              <w:rPr>
                <w:rFonts w:ascii="Arial Narrow" w:eastAsia="Times New Roman" w:hAnsi="Arial Narrow" w:cs="Times New Roman"/>
                <w:color w:val="auto"/>
                <w:sz w:val="20"/>
                <w:szCs w:val="20"/>
              </w:rPr>
              <w:t>Effectiveness</w:t>
            </w:r>
          </w:p>
        </w:tc>
        <w:tc>
          <w:tcPr>
            <w:tcW w:w="165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Habitat cover</w:t>
            </w:r>
          </w:p>
        </w:tc>
      </w:tr>
      <w:tr w:rsidR="00E05EF4" w:rsidRPr="00143084" w:rsidTr="00C6266B">
        <w:trPr>
          <w:trHeight w:val="26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both"/>
              <w:rPr>
                <w:rFonts w:ascii="Arial Narrow" w:hAnsi="Arial Narrow"/>
                <w:color w:val="auto"/>
                <w:sz w:val="20"/>
                <w:szCs w:val="20"/>
              </w:rPr>
            </w:pPr>
            <w:r w:rsidRPr="00143084">
              <w:rPr>
                <w:rFonts w:ascii="Arial Narrow" w:eastAsia="Times New Roman" w:hAnsi="Arial Narrow" w:cs="Times New Roman"/>
                <w:color w:val="auto"/>
                <w:sz w:val="20"/>
                <w:szCs w:val="20"/>
              </w:rPr>
              <w:t>6.6</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r>
      <w:tr w:rsidR="00E05EF4" w:rsidRPr="00143084" w:rsidTr="00C6266B">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both"/>
              <w:rPr>
                <w:rFonts w:ascii="Arial Narrow" w:hAnsi="Arial Narrow"/>
                <w:color w:val="auto"/>
                <w:sz w:val="20"/>
                <w:szCs w:val="20"/>
              </w:rPr>
            </w:pPr>
            <w:r w:rsidRPr="00143084">
              <w:rPr>
                <w:rFonts w:ascii="Arial Narrow" w:eastAsia="Times New Roman" w:hAnsi="Arial Narrow" w:cs="Times New Roman"/>
                <w:color w:val="auto"/>
                <w:sz w:val="20"/>
                <w:szCs w:val="20"/>
              </w:rPr>
              <w:t>14.2</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r>
      <w:tr w:rsidR="00E05EF4" w:rsidRPr="00143084" w:rsidTr="00C6266B">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both"/>
              <w:rPr>
                <w:rFonts w:ascii="Arial Narrow" w:hAnsi="Arial Narrow"/>
                <w:color w:val="auto"/>
                <w:sz w:val="20"/>
                <w:szCs w:val="20"/>
              </w:rPr>
            </w:pPr>
            <w:r w:rsidRPr="00143084">
              <w:rPr>
                <w:rFonts w:ascii="Arial Narrow" w:eastAsia="Times New Roman" w:hAnsi="Arial Narrow" w:cs="Times New Roman"/>
                <w:color w:val="auto"/>
                <w:sz w:val="20"/>
                <w:szCs w:val="20"/>
              </w:rPr>
              <w:t>14.4</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65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r>
      <w:tr w:rsidR="00E05EF4" w:rsidRPr="00143084" w:rsidTr="00C6266B">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both"/>
              <w:rPr>
                <w:rFonts w:ascii="Arial Narrow" w:hAnsi="Arial Narrow"/>
                <w:color w:val="auto"/>
                <w:sz w:val="20"/>
                <w:szCs w:val="20"/>
              </w:rPr>
            </w:pPr>
            <w:r w:rsidRPr="00143084">
              <w:rPr>
                <w:rFonts w:ascii="Arial Narrow" w:eastAsia="Times New Roman" w:hAnsi="Arial Narrow" w:cs="Times New Roman"/>
                <w:color w:val="auto"/>
                <w:sz w:val="20"/>
                <w:szCs w:val="20"/>
              </w:rPr>
              <w:t>14.5</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r>
      <w:tr w:rsidR="00E05EF4" w:rsidRPr="00143084" w:rsidTr="00C6266B">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both"/>
              <w:rPr>
                <w:rFonts w:ascii="Arial Narrow" w:hAnsi="Arial Narrow"/>
                <w:color w:val="auto"/>
                <w:sz w:val="20"/>
                <w:szCs w:val="20"/>
              </w:rPr>
            </w:pPr>
            <w:r w:rsidRPr="00143084">
              <w:rPr>
                <w:rFonts w:ascii="Arial Narrow" w:eastAsia="Times New Roman" w:hAnsi="Arial Narrow" w:cs="Times New Roman"/>
                <w:color w:val="auto"/>
                <w:sz w:val="20"/>
                <w:szCs w:val="20"/>
              </w:rPr>
              <w:t>15.1</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r>
      <w:tr w:rsidR="00E05EF4" w:rsidRPr="00143084" w:rsidTr="00C6266B">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both"/>
              <w:rPr>
                <w:rFonts w:ascii="Arial Narrow" w:hAnsi="Arial Narrow"/>
                <w:color w:val="auto"/>
                <w:sz w:val="20"/>
                <w:szCs w:val="20"/>
              </w:rPr>
            </w:pPr>
            <w:r w:rsidRPr="00143084">
              <w:rPr>
                <w:rFonts w:ascii="Arial Narrow" w:eastAsia="Times New Roman" w:hAnsi="Arial Narrow" w:cs="Times New Roman"/>
                <w:color w:val="auto"/>
                <w:sz w:val="20"/>
                <w:szCs w:val="20"/>
              </w:rPr>
              <w:t>15.2</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r>
      <w:tr w:rsidR="00E05EF4" w:rsidRPr="00143084" w:rsidTr="00C6266B">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both"/>
              <w:rPr>
                <w:rFonts w:ascii="Arial Narrow" w:hAnsi="Arial Narrow"/>
                <w:color w:val="auto"/>
                <w:sz w:val="20"/>
                <w:szCs w:val="20"/>
              </w:rPr>
            </w:pPr>
            <w:r w:rsidRPr="00143084">
              <w:rPr>
                <w:rFonts w:ascii="Arial Narrow" w:eastAsia="Times New Roman" w:hAnsi="Arial Narrow" w:cs="Times New Roman"/>
                <w:color w:val="auto"/>
                <w:sz w:val="20"/>
                <w:szCs w:val="20"/>
              </w:rPr>
              <w:t>15.4</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r>
      <w:tr w:rsidR="00E05EF4" w:rsidRPr="00143084" w:rsidTr="00C6266B">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both"/>
              <w:rPr>
                <w:rFonts w:ascii="Arial Narrow" w:hAnsi="Arial Narrow"/>
                <w:color w:val="auto"/>
                <w:sz w:val="20"/>
                <w:szCs w:val="20"/>
              </w:rPr>
            </w:pPr>
            <w:r w:rsidRPr="00143084">
              <w:rPr>
                <w:rFonts w:ascii="Arial Narrow" w:eastAsia="Times New Roman" w:hAnsi="Arial Narrow" w:cs="Times New Roman"/>
                <w:color w:val="auto"/>
                <w:sz w:val="20"/>
                <w:szCs w:val="20"/>
              </w:rPr>
              <w:t>15.5</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r>
      <w:tr w:rsidR="00E05EF4" w:rsidRPr="00143084" w:rsidTr="00C6266B">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both"/>
              <w:rPr>
                <w:rFonts w:ascii="Arial Narrow" w:hAnsi="Arial Narrow"/>
                <w:color w:val="auto"/>
                <w:sz w:val="20"/>
                <w:szCs w:val="20"/>
              </w:rPr>
            </w:pPr>
            <w:r w:rsidRPr="00143084">
              <w:rPr>
                <w:rFonts w:ascii="Arial Narrow" w:eastAsia="Times New Roman" w:hAnsi="Arial Narrow" w:cs="Times New Roman"/>
                <w:color w:val="auto"/>
                <w:sz w:val="20"/>
                <w:szCs w:val="20"/>
              </w:rPr>
              <w:t>15.7</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65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r>
      <w:tr w:rsidR="00E05EF4" w:rsidRPr="00143084" w:rsidTr="00C6266B">
        <w:trPr>
          <w:trHeight w:val="62"/>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both"/>
              <w:rPr>
                <w:rFonts w:ascii="Arial Narrow" w:hAnsi="Arial Narrow"/>
                <w:color w:val="auto"/>
                <w:sz w:val="20"/>
                <w:szCs w:val="20"/>
              </w:rPr>
            </w:pPr>
            <w:r w:rsidRPr="00143084">
              <w:rPr>
                <w:rFonts w:ascii="Arial Narrow" w:eastAsia="Times New Roman" w:hAnsi="Arial Narrow" w:cs="Times New Roman"/>
                <w:color w:val="auto"/>
                <w:sz w:val="20"/>
                <w:szCs w:val="20"/>
              </w:rPr>
              <w:t>15.8</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65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C6266B">
            <w:pPr>
              <w:spacing w:line="240" w:lineRule="auto"/>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r>
    </w:tbl>
    <w:p w:rsidR="00C6266B" w:rsidRPr="000832E4" w:rsidRDefault="00C6266B" w:rsidP="000A2606">
      <w:pPr>
        <w:spacing w:after="120"/>
        <w:rPr>
          <w:color w:val="auto"/>
        </w:rPr>
      </w:pPr>
    </w:p>
    <w:p w:rsidR="00534CA7" w:rsidRPr="000832E4" w:rsidRDefault="00C6266B" w:rsidP="000832E4">
      <w:pPr>
        <w:pStyle w:val="ListParagraph"/>
        <w:spacing w:after="120"/>
        <w:ind w:left="0"/>
        <w:rPr>
          <w:b/>
          <w:color w:val="auto"/>
        </w:rPr>
      </w:pPr>
      <w:r w:rsidRPr="000832E4">
        <w:rPr>
          <w:color w:val="auto"/>
        </w:rPr>
        <w:t>For a fuller discussion, please see WWF’s response to Topics 18-22</w:t>
      </w:r>
      <w:r w:rsidR="000832E4" w:rsidRPr="000832E4">
        <w:rPr>
          <w:color w:val="auto"/>
        </w:rPr>
        <w:t xml:space="preserve"> </w:t>
      </w:r>
      <w:r w:rsidR="00136FC2" w:rsidRPr="000832E4">
        <w:rPr>
          <w:color w:val="auto"/>
        </w:rPr>
        <w:t xml:space="preserve">and specific proposals for targets 6.6, 14.2, 14.4, 14.5, 15.1, 15.2, 15.4, 15.5, 15.7 and 15.8 </w:t>
      </w:r>
      <w:r w:rsidRPr="000832E4">
        <w:rPr>
          <w:color w:val="auto"/>
        </w:rPr>
        <w:t>in the Stakeholder Compilation document</w:t>
      </w:r>
      <w:r w:rsidR="00136FC2" w:rsidRPr="000832E4">
        <w:rPr>
          <w:color w:val="auto"/>
        </w:rPr>
        <w:t xml:space="preserve"> or at </w:t>
      </w:r>
      <w:hyperlink r:id="rId13" w:history="1">
        <w:r w:rsidR="00136FC2" w:rsidRPr="000832E4">
          <w:rPr>
            <w:rStyle w:val="Hyperlink"/>
            <w:color w:val="auto"/>
          </w:rPr>
          <w:t>http://panda.org/</w:t>
        </w:r>
      </w:hyperlink>
      <w:r w:rsidR="000832E4">
        <w:rPr>
          <w:rStyle w:val="Hyperlink"/>
          <w:color w:val="auto"/>
        </w:rPr>
        <w:t>post2015</w:t>
      </w:r>
      <w:r w:rsidR="00136FC2" w:rsidRPr="000832E4">
        <w:rPr>
          <w:color w:val="auto"/>
        </w:rPr>
        <w:t>.</w:t>
      </w:r>
    </w:p>
    <w:sectPr w:rsidR="00534CA7" w:rsidRPr="000832E4" w:rsidSect="00A662AA">
      <w:headerReference w:type="even" r:id="rId14"/>
      <w:footerReference w:type="default" r:id="rId15"/>
      <w:headerReference w:type="first" r:id="rId16"/>
      <w:footerReference w:type="first" r:id="rId17"/>
      <w:pgSz w:w="11906" w:h="16838"/>
      <w:pgMar w:top="1102"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D2" w:rsidRDefault="003D41D2" w:rsidP="003117A9">
      <w:pPr>
        <w:spacing w:line="240" w:lineRule="auto"/>
      </w:pPr>
      <w:r>
        <w:separator/>
      </w:r>
    </w:p>
  </w:endnote>
  <w:endnote w:type="continuationSeparator" w:id="0">
    <w:p w:rsidR="003D41D2" w:rsidRDefault="003D41D2" w:rsidP="00311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3E" w:rsidRDefault="0076753E" w:rsidP="002A14AD">
    <w:pPr>
      <w:pStyle w:val="GRP020PageNumber"/>
    </w:pPr>
    <w:r w:rsidRPr="00CA525F">
      <w:rPr>
        <w:rStyle w:val="PageNumber"/>
      </w:rPr>
      <w:tab/>
    </w:r>
    <w:r>
      <w:rPr>
        <w:rStyle w:val="PageNumber"/>
      </w:rPr>
      <w:t>P</w:t>
    </w:r>
    <w:r w:rsidRPr="00ED2509">
      <w:rPr>
        <w:rStyle w:val="PageNumber"/>
      </w:rPr>
      <w:t>age</w:t>
    </w:r>
    <w:r w:rsidRPr="00CA525F">
      <w:rPr>
        <w:rStyle w:val="PageNumber"/>
      </w:rPr>
      <w:t xml:space="preserve"> </w:t>
    </w:r>
    <w:r w:rsidRPr="00CA525F">
      <w:rPr>
        <w:rStyle w:val="PageNumber"/>
      </w:rPr>
      <w:fldChar w:fldCharType="begin"/>
    </w:r>
    <w:r w:rsidRPr="00CA525F">
      <w:rPr>
        <w:rStyle w:val="PageNumber"/>
      </w:rPr>
      <w:instrText xml:space="preserve"> PAGE </w:instrText>
    </w:r>
    <w:r w:rsidRPr="00CA525F">
      <w:rPr>
        <w:rStyle w:val="PageNumber"/>
      </w:rPr>
      <w:fldChar w:fldCharType="separate"/>
    </w:r>
    <w:r w:rsidR="001068C2">
      <w:rPr>
        <w:rStyle w:val="PageNumber"/>
        <w:noProof/>
      </w:rPr>
      <w:t>6</w:t>
    </w:r>
    <w:r w:rsidRPr="00CA525F">
      <w:rPr>
        <w:rStyle w:val="PageNumber"/>
      </w:rPr>
      <w:fldChar w:fldCharType="end"/>
    </w:r>
    <w:r w:rsidRPr="00CA525F">
      <w:rPr>
        <w:rStyle w:val="PageNumber"/>
      </w:rPr>
      <w:t xml:space="preserve"> of </w:t>
    </w:r>
    <w:r w:rsidRPr="00CA525F">
      <w:rPr>
        <w:rStyle w:val="PageNumber"/>
      </w:rPr>
      <w:fldChar w:fldCharType="begin"/>
    </w:r>
    <w:r w:rsidRPr="00CA525F">
      <w:rPr>
        <w:rStyle w:val="PageNumber"/>
      </w:rPr>
      <w:instrText xml:space="preserve"> NUMPAGES </w:instrText>
    </w:r>
    <w:r w:rsidRPr="00CA525F">
      <w:rPr>
        <w:rStyle w:val="PageNumber"/>
      </w:rPr>
      <w:fldChar w:fldCharType="separate"/>
    </w:r>
    <w:r w:rsidR="001068C2">
      <w:rPr>
        <w:rStyle w:val="PageNumber"/>
        <w:noProof/>
      </w:rPr>
      <w:t>6</w:t>
    </w:r>
    <w:r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3E" w:rsidRDefault="0076753E" w:rsidP="00643BF8">
    <w:pPr>
      <w:pStyle w:val="GRP020PageNumber"/>
    </w:pPr>
    <w:r w:rsidRPr="00CA525F">
      <w:rPr>
        <w:rStyle w:val="PageNumber"/>
      </w:rPr>
      <w:tab/>
    </w:r>
    <w:r>
      <w:rPr>
        <w:rStyle w:val="PageNumber"/>
      </w:rPr>
      <w:t>P</w:t>
    </w:r>
    <w:r w:rsidRPr="00ED2509">
      <w:rPr>
        <w:rStyle w:val="PageNumber"/>
      </w:rPr>
      <w:t>age</w:t>
    </w:r>
    <w:r w:rsidRPr="00CA525F">
      <w:rPr>
        <w:rStyle w:val="PageNumber"/>
      </w:rPr>
      <w:t xml:space="preserve"> </w:t>
    </w:r>
    <w:r w:rsidRPr="00CA525F">
      <w:rPr>
        <w:rStyle w:val="PageNumber"/>
      </w:rPr>
      <w:fldChar w:fldCharType="begin"/>
    </w:r>
    <w:r w:rsidRPr="00CA525F">
      <w:rPr>
        <w:rStyle w:val="PageNumber"/>
      </w:rPr>
      <w:instrText xml:space="preserve"> PAGE </w:instrText>
    </w:r>
    <w:r w:rsidRPr="00CA525F">
      <w:rPr>
        <w:rStyle w:val="PageNumber"/>
      </w:rPr>
      <w:fldChar w:fldCharType="separate"/>
    </w:r>
    <w:r w:rsidR="001068C2">
      <w:rPr>
        <w:rStyle w:val="PageNumber"/>
        <w:noProof/>
      </w:rPr>
      <w:t>1</w:t>
    </w:r>
    <w:r w:rsidRPr="00CA525F">
      <w:rPr>
        <w:rStyle w:val="PageNumber"/>
      </w:rPr>
      <w:fldChar w:fldCharType="end"/>
    </w:r>
    <w:r w:rsidRPr="00CA525F">
      <w:rPr>
        <w:rStyle w:val="PageNumber"/>
      </w:rPr>
      <w:t xml:space="preserve"> of </w:t>
    </w:r>
    <w:r w:rsidRPr="00CA525F">
      <w:rPr>
        <w:rStyle w:val="PageNumber"/>
      </w:rPr>
      <w:fldChar w:fldCharType="begin"/>
    </w:r>
    <w:r w:rsidRPr="00CA525F">
      <w:rPr>
        <w:rStyle w:val="PageNumber"/>
      </w:rPr>
      <w:instrText xml:space="preserve"> NUMPAGES </w:instrText>
    </w:r>
    <w:r w:rsidRPr="00CA525F">
      <w:rPr>
        <w:rStyle w:val="PageNumber"/>
      </w:rPr>
      <w:fldChar w:fldCharType="separate"/>
    </w:r>
    <w:r w:rsidR="001068C2">
      <w:rPr>
        <w:rStyle w:val="PageNumber"/>
        <w:noProof/>
      </w:rPr>
      <w:t>6</w:t>
    </w:r>
    <w:r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D2" w:rsidRDefault="003D41D2" w:rsidP="003117A9">
      <w:pPr>
        <w:spacing w:line="240" w:lineRule="auto"/>
      </w:pPr>
      <w:r>
        <w:separator/>
      </w:r>
    </w:p>
  </w:footnote>
  <w:footnote w:type="continuationSeparator" w:id="0">
    <w:p w:rsidR="003D41D2" w:rsidRDefault="003D41D2" w:rsidP="003117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3E" w:rsidRDefault="007675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8A" w:rsidRDefault="0076753E" w:rsidP="000C2CE5">
    <w:pPr>
      <w:pStyle w:val="GRP001Header"/>
    </w:pPr>
    <w:r>
      <w:drawing>
        <wp:anchor distT="0" distB="0" distL="114300" distR="114300" simplePos="0" relativeHeight="251667968" behindDoc="0" locked="0" layoutInCell="1" allowOverlap="1" wp14:anchorId="26921E4A" wp14:editId="4EA0B35B">
          <wp:simplePos x="0" y="0"/>
          <wp:positionH relativeFrom="column">
            <wp:posOffset>17780</wp:posOffset>
          </wp:positionH>
          <wp:positionV relativeFrom="paragraph">
            <wp:posOffset>-2052205</wp:posOffset>
          </wp:positionV>
          <wp:extent cx="946800" cy="4359600"/>
          <wp:effectExtent l="0" t="0" r="5715" b="3175"/>
          <wp:wrapNone/>
          <wp:docPr id="16" name="Picture 16" descr="G:\Groups\Conservation\CPP\InternationalPolicy\Templates\Template Tools\Value Tabs\2015\Tab_HHGRP_Note+Int+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Templates\Template Tools\Value Tabs\2015\Tab_HHGRP_Note+Int+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435960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060D85ED" wp14:editId="4FD77CBC">
              <wp:simplePos x="0" y="0"/>
              <wp:positionH relativeFrom="column">
                <wp:posOffset>-7571105</wp:posOffset>
              </wp:positionH>
              <wp:positionV relativeFrom="paragraph">
                <wp:posOffset>6047740</wp:posOffset>
              </wp:positionV>
              <wp:extent cx="13809345" cy="190500"/>
              <wp:effectExtent l="635" t="0" r="0" b="1905"/>
              <wp:wrapNone/>
              <wp:docPr id="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809345" cy="190500"/>
                      </a:xfrm>
                      <a:prstGeom prst="rect">
                        <a:avLst/>
                      </a:prstGeom>
                      <a:solidFill>
                        <a:srgbClr val="FDBC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" fillcolor="#fdbc5f" stroked="f">
              <o:lock v:ext="edit" aspectratio="t"/>
            </v:rect>
          </w:pict>
        </mc:Fallback>
      </mc:AlternateContent>
    </w:r>
    <w:r w:rsidR="003F518F">
      <w:t xml:space="preserve">WWF </w:t>
    </w:r>
    <w:r w:rsidR="00B42FC2">
      <w:t xml:space="preserve">CORE </w:t>
    </w:r>
    <w:r w:rsidR="00C6266B">
      <w:t>observations</w:t>
    </w:r>
  </w:p>
  <w:p w:rsidR="0076753E" w:rsidRPr="00B17B03" w:rsidRDefault="0076753E" w:rsidP="000C2CE5">
    <w:pPr>
      <w:pStyle w:val="GRP002BriefTitle"/>
    </w:pPr>
    <w:r>
      <mc:AlternateContent>
        <mc:Choice Requires="wps">
          <w:drawing>
            <wp:anchor distT="0" distB="0" distL="114300" distR="114300" simplePos="0" relativeHeight="251658240" behindDoc="0" locked="0" layoutInCell="1" allowOverlap="1" wp14:anchorId="18D91583" wp14:editId="5B1AF491">
              <wp:simplePos x="0" y="0"/>
              <wp:positionH relativeFrom="column">
                <wp:posOffset>4000500</wp:posOffset>
              </wp:positionH>
              <wp:positionV relativeFrom="paragraph">
                <wp:posOffset>482600</wp:posOffset>
              </wp:positionV>
              <wp:extent cx="2051685" cy="0"/>
              <wp:effectExtent l="9525" t="6350" r="15240"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FDBC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pt" to="47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" strokecolor="#fdbc5f" strokeweight="1pt"/>
          </w:pict>
        </mc:Fallback>
      </mc:AlternateContent>
    </w:r>
    <w:r w:rsidR="002F5904">
      <w:t>IAEG INDICATOR PROPOSAL</w:t>
    </w:r>
  </w:p>
  <w:p w:rsidR="0076753E" w:rsidRPr="00B17B03" w:rsidRDefault="0076753E" w:rsidP="000C2CE5">
    <w:pPr>
      <w:pStyle w:val="GRP003Date"/>
    </w:pPr>
    <w:r w:rsidRPr="00B17B03">
      <w:t xml:space="preserve">Global and Regional Policy, </w:t>
    </w:r>
    <w:r w:rsidR="00B42FC2">
      <w:t>23 October</w:t>
    </w:r>
    <w:r>
      <w:t xml:space="preserve"> 2015</w:t>
    </w:r>
  </w:p>
  <w:p w:rsidR="0076753E" w:rsidRDefault="0076753E">
    <w:pPr>
      <w:pStyle w:val="Header"/>
    </w:pPr>
  </w:p>
  <w:p w:rsidR="0076753E" w:rsidRDefault="0076753E">
    <w:pPr>
      <w:pStyle w:val="Header"/>
    </w:pPr>
  </w:p>
  <w:p w:rsidR="0076753E" w:rsidRDefault="0076753E">
    <w:pPr>
      <w:pStyle w:val="Header"/>
    </w:pPr>
  </w:p>
  <w:p w:rsidR="0076753E" w:rsidRDefault="0076753E">
    <w:pPr>
      <w:pStyle w:val="Header"/>
    </w:pPr>
  </w:p>
  <w:p w:rsidR="0076753E" w:rsidRDefault="0076753E" w:rsidP="00C424AD">
    <w:pPr>
      <w:pStyle w:val="Heade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560"/>
    <w:multiLevelType w:val="hybridMultilevel"/>
    <w:tmpl w:val="EBA2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5A8A"/>
    <w:multiLevelType w:val="hybridMultilevel"/>
    <w:tmpl w:val="3C1450E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4">
    <w:nsid w:val="07271FA8"/>
    <w:multiLevelType w:val="multilevel"/>
    <w:tmpl w:val="BF6C3C4E"/>
    <w:numStyleLink w:val="Style1"/>
  </w:abstractNum>
  <w:abstractNum w:abstractNumId="5">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2F18FA"/>
    <w:multiLevelType w:val="hybridMultilevel"/>
    <w:tmpl w:val="9B5478C4"/>
    <w:lvl w:ilvl="0" w:tplc="D6B8F91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C32A93"/>
    <w:multiLevelType w:val="hybridMultilevel"/>
    <w:tmpl w:val="9C34180C"/>
    <w:lvl w:ilvl="0" w:tplc="E42AB6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C0604EF"/>
    <w:multiLevelType w:val="hybridMultilevel"/>
    <w:tmpl w:val="D4E62A7E"/>
    <w:lvl w:ilvl="0" w:tplc="270C538E">
      <w:start w:val="1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055B41"/>
    <w:multiLevelType w:val="hybridMultilevel"/>
    <w:tmpl w:val="13644D2E"/>
    <w:lvl w:ilvl="0" w:tplc="2348D92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310CEB"/>
    <w:multiLevelType w:val="hybridMultilevel"/>
    <w:tmpl w:val="D4266C0A"/>
    <w:lvl w:ilvl="0" w:tplc="F3E89C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9F5127"/>
    <w:multiLevelType w:val="hybridMultilevel"/>
    <w:tmpl w:val="181EA6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3">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331F6524"/>
    <w:multiLevelType w:val="hybridMultilevel"/>
    <w:tmpl w:val="E9B8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45DB6"/>
    <w:multiLevelType w:val="multilevel"/>
    <w:tmpl w:val="BF6C3C4E"/>
    <w:numStyleLink w:val="Style1"/>
  </w:abstractNum>
  <w:abstractNum w:abstractNumId="16">
    <w:nsid w:val="37642E81"/>
    <w:multiLevelType w:val="hybridMultilevel"/>
    <w:tmpl w:val="788A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9">
    <w:nsid w:val="411B6D59"/>
    <w:multiLevelType w:val="hybridMultilevel"/>
    <w:tmpl w:val="5DD29566"/>
    <w:lvl w:ilvl="0" w:tplc="0360E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1">
    <w:nsid w:val="44716D9A"/>
    <w:multiLevelType w:val="hybridMultilevel"/>
    <w:tmpl w:val="FD4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D27678"/>
    <w:multiLevelType w:val="hybridMultilevel"/>
    <w:tmpl w:val="25F8E714"/>
    <w:lvl w:ilvl="0" w:tplc="B838E1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4">
    <w:nsid w:val="4D737B57"/>
    <w:multiLevelType w:val="hybridMultilevel"/>
    <w:tmpl w:val="1EF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6">
    <w:nsid w:val="57E53F7E"/>
    <w:multiLevelType w:val="hybridMultilevel"/>
    <w:tmpl w:val="F87E8FE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7">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8">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7CF3126"/>
    <w:multiLevelType w:val="hybridMultilevel"/>
    <w:tmpl w:val="60D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1">
    <w:nsid w:val="6BF552B8"/>
    <w:multiLevelType w:val="multilevel"/>
    <w:tmpl w:val="6150B262"/>
    <w:numStyleLink w:val="HH10NumbersList"/>
  </w:abstractNum>
  <w:abstractNum w:abstractNumId="32">
    <w:nsid w:val="6DD426D5"/>
    <w:multiLevelType w:val="multilevel"/>
    <w:tmpl w:val="E6FC0A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4">
    <w:nsid w:val="74A23A8C"/>
    <w:multiLevelType w:val="multilevel"/>
    <w:tmpl w:val="BF6C3C4E"/>
    <w:numStyleLink w:val="Style1"/>
  </w:abstractNum>
  <w:abstractNum w:abstractNumId="35">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6">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8"/>
  </w:num>
  <w:num w:numId="2">
    <w:abstractNumId w:val="23"/>
  </w:num>
  <w:num w:numId="3">
    <w:abstractNumId w:val="2"/>
  </w:num>
  <w:num w:numId="4">
    <w:abstractNumId w:val="36"/>
  </w:num>
  <w:num w:numId="5">
    <w:abstractNumId w:val="33"/>
  </w:num>
  <w:num w:numId="6">
    <w:abstractNumId w:val="13"/>
  </w:num>
  <w:num w:numId="7">
    <w:abstractNumId w:val="12"/>
  </w:num>
  <w:num w:numId="8">
    <w:abstractNumId w:val="27"/>
  </w:num>
  <w:num w:numId="9">
    <w:abstractNumId w:val="20"/>
  </w:num>
  <w:num w:numId="10">
    <w:abstractNumId w:val="17"/>
  </w:num>
  <w:num w:numId="11">
    <w:abstractNumId w:val="3"/>
  </w:num>
  <w:num w:numId="12">
    <w:abstractNumId w:val="35"/>
  </w:num>
  <w:num w:numId="13">
    <w:abstractNumId w:val="25"/>
  </w:num>
  <w:num w:numId="14">
    <w:abstractNumId w:val="30"/>
  </w:num>
  <w:num w:numId="15">
    <w:abstractNumId w:val="5"/>
  </w:num>
  <w:num w:numId="16">
    <w:abstractNumId w:val="31"/>
  </w:num>
  <w:num w:numId="17">
    <w:abstractNumId w:val="28"/>
  </w:num>
  <w:num w:numId="18">
    <w:abstractNumId w:val="4"/>
  </w:num>
  <w:num w:numId="19">
    <w:abstractNumId w:val="24"/>
  </w:num>
  <w:num w:numId="20">
    <w:abstractNumId w:val="6"/>
  </w:num>
  <w:num w:numId="21">
    <w:abstractNumId w:val="34"/>
  </w:num>
  <w:num w:numId="22">
    <w:abstractNumId w:val="1"/>
  </w:num>
  <w:num w:numId="23">
    <w:abstractNumId w:val="11"/>
  </w:num>
  <w:num w:numId="24">
    <w:abstractNumId w:val="16"/>
  </w:num>
  <w:num w:numId="25">
    <w:abstractNumId w:val="8"/>
  </w:num>
  <w:num w:numId="26">
    <w:abstractNumId w:val="14"/>
  </w:num>
  <w:num w:numId="27">
    <w:abstractNumId w:val="9"/>
  </w:num>
  <w:num w:numId="28">
    <w:abstractNumId w:val="0"/>
  </w:num>
  <w:num w:numId="29">
    <w:abstractNumId w:val="21"/>
  </w:num>
  <w:num w:numId="30">
    <w:abstractNumId w:val="29"/>
  </w:num>
  <w:num w:numId="31">
    <w:abstractNumId w:val="32"/>
  </w:num>
  <w:num w:numId="32">
    <w:abstractNumId w:val="26"/>
  </w:num>
  <w:num w:numId="33">
    <w:abstractNumId w:val="7"/>
  </w:num>
  <w:num w:numId="34">
    <w:abstractNumId w:val="19"/>
  </w:num>
  <w:num w:numId="35">
    <w:abstractNumId w:val="22"/>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3E"/>
    <w:rsid w:val="000008D7"/>
    <w:rsid w:val="00001FE5"/>
    <w:rsid w:val="00002A24"/>
    <w:rsid w:val="00004C16"/>
    <w:rsid w:val="00006745"/>
    <w:rsid w:val="00012CDC"/>
    <w:rsid w:val="000147B6"/>
    <w:rsid w:val="00014B77"/>
    <w:rsid w:val="00016CC1"/>
    <w:rsid w:val="0002158A"/>
    <w:rsid w:val="00021AA3"/>
    <w:rsid w:val="00021F26"/>
    <w:rsid w:val="00024AE4"/>
    <w:rsid w:val="000253F7"/>
    <w:rsid w:val="000277A5"/>
    <w:rsid w:val="00032735"/>
    <w:rsid w:val="00033E2F"/>
    <w:rsid w:val="00034B0E"/>
    <w:rsid w:val="0004057C"/>
    <w:rsid w:val="00055446"/>
    <w:rsid w:val="00061635"/>
    <w:rsid w:val="00073159"/>
    <w:rsid w:val="0007629A"/>
    <w:rsid w:val="00076F3B"/>
    <w:rsid w:val="000832E4"/>
    <w:rsid w:val="000839AC"/>
    <w:rsid w:val="000947F1"/>
    <w:rsid w:val="00095716"/>
    <w:rsid w:val="00096762"/>
    <w:rsid w:val="000A0DC1"/>
    <w:rsid w:val="000A2606"/>
    <w:rsid w:val="000A7B5D"/>
    <w:rsid w:val="000C0FEB"/>
    <w:rsid w:val="000C2CE5"/>
    <w:rsid w:val="000C6B7B"/>
    <w:rsid w:val="000C7122"/>
    <w:rsid w:val="000D19ED"/>
    <w:rsid w:val="000D60CC"/>
    <w:rsid w:val="000D61FA"/>
    <w:rsid w:val="000E69CB"/>
    <w:rsid w:val="000F2052"/>
    <w:rsid w:val="00101D79"/>
    <w:rsid w:val="0010230A"/>
    <w:rsid w:val="001049B8"/>
    <w:rsid w:val="001068C2"/>
    <w:rsid w:val="00106A62"/>
    <w:rsid w:val="00107892"/>
    <w:rsid w:val="00114C67"/>
    <w:rsid w:val="001156B1"/>
    <w:rsid w:val="00120A1A"/>
    <w:rsid w:val="0012194F"/>
    <w:rsid w:val="00122C7A"/>
    <w:rsid w:val="00124411"/>
    <w:rsid w:val="00127488"/>
    <w:rsid w:val="00135802"/>
    <w:rsid w:val="00136FC2"/>
    <w:rsid w:val="0014098C"/>
    <w:rsid w:val="001424F8"/>
    <w:rsid w:val="00142BF2"/>
    <w:rsid w:val="00143084"/>
    <w:rsid w:val="0014671C"/>
    <w:rsid w:val="001470A8"/>
    <w:rsid w:val="00150B92"/>
    <w:rsid w:val="001530AE"/>
    <w:rsid w:val="00153260"/>
    <w:rsid w:val="00160BB0"/>
    <w:rsid w:val="0016609B"/>
    <w:rsid w:val="001675D8"/>
    <w:rsid w:val="00173909"/>
    <w:rsid w:val="00177593"/>
    <w:rsid w:val="00180341"/>
    <w:rsid w:val="00181C1E"/>
    <w:rsid w:val="00191928"/>
    <w:rsid w:val="001932A3"/>
    <w:rsid w:val="00193E97"/>
    <w:rsid w:val="0019447A"/>
    <w:rsid w:val="00196338"/>
    <w:rsid w:val="0019773D"/>
    <w:rsid w:val="001A146F"/>
    <w:rsid w:val="001A3377"/>
    <w:rsid w:val="001A3AA9"/>
    <w:rsid w:val="001A3C7D"/>
    <w:rsid w:val="001A5884"/>
    <w:rsid w:val="001A65E7"/>
    <w:rsid w:val="001B2FF2"/>
    <w:rsid w:val="001B4C89"/>
    <w:rsid w:val="001B62EB"/>
    <w:rsid w:val="001B7F50"/>
    <w:rsid w:val="001C5ACB"/>
    <w:rsid w:val="001C7443"/>
    <w:rsid w:val="001D3578"/>
    <w:rsid w:val="001D386A"/>
    <w:rsid w:val="001D3A7C"/>
    <w:rsid w:val="001D4867"/>
    <w:rsid w:val="001D53B2"/>
    <w:rsid w:val="001D70AA"/>
    <w:rsid w:val="001E0FC5"/>
    <w:rsid w:val="001E16D3"/>
    <w:rsid w:val="001E5DEE"/>
    <w:rsid w:val="001E5FB1"/>
    <w:rsid w:val="001E6C4D"/>
    <w:rsid w:val="001E7239"/>
    <w:rsid w:val="001F4D73"/>
    <w:rsid w:val="00200121"/>
    <w:rsid w:val="002147AB"/>
    <w:rsid w:val="00216413"/>
    <w:rsid w:val="00216438"/>
    <w:rsid w:val="00217FE4"/>
    <w:rsid w:val="00233F75"/>
    <w:rsid w:val="0023613E"/>
    <w:rsid w:val="00240E2E"/>
    <w:rsid w:val="00243903"/>
    <w:rsid w:val="00243AF4"/>
    <w:rsid w:val="00243EA6"/>
    <w:rsid w:val="002445B9"/>
    <w:rsid w:val="002536C9"/>
    <w:rsid w:val="002547D2"/>
    <w:rsid w:val="002556AA"/>
    <w:rsid w:val="00257EF0"/>
    <w:rsid w:val="002600D2"/>
    <w:rsid w:val="00262E7A"/>
    <w:rsid w:val="0027372F"/>
    <w:rsid w:val="002757B2"/>
    <w:rsid w:val="00276362"/>
    <w:rsid w:val="00276691"/>
    <w:rsid w:val="00277371"/>
    <w:rsid w:val="00277E09"/>
    <w:rsid w:val="00280A44"/>
    <w:rsid w:val="00280A49"/>
    <w:rsid w:val="00283A7F"/>
    <w:rsid w:val="00285E1A"/>
    <w:rsid w:val="00293895"/>
    <w:rsid w:val="002A14AD"/>
    <w:rsid w:val="002A5241"/>
    <w:rsid w:val="002B042D"/>
    <w:rsid w:val="002B0D5D"/>
    <w:rsid w:val="002B487C"/>
    <w:rsid w:val="002B7F5B"/>
    <w:rsid w:val="002C0696"/>
    <w:rsid w:val="002C1397"/>
    <w:rsid w:val="002C5B14"/>
    <w:rsid w:val="002C5F28"/>
    <w:rsid w:val="002D1FD6"/>
    <w:rsid w:val="002D2401"/>
    <w:rsid w:val="002D29EF"/>
    <w:rsid w:val="002D40C9"/>
    <w:rsid w:val="002D47AC"/>
    <w:rsid w:val="002E4433"/>
    <w:rsid w:val="002E51F9"/>
    <w:rsid w:val="002E78D4"/>
    <w:rsid w:val="002F1F24"/>
    <w:rsid w:val="002F352D"/>
    <w:rsid w:val="002F3875"/>
    <w:rsid w:val="002F4E78"/>
    <w:rsid w:val="002F5904"/>
    <w:rsid w:val="002F6DF4"/>
    <w:rsid w:val="00301E5C"/>
    <w:rsid w:val="003030E1"/>
    <w:rsid w:val="00304313"/>
    <w:rsid w:val="00304796"/>
    <w:rsid w:val="00306AD5"/>
    <w:rsid w:val="00311207"/>
    <w:rsid w:val="003117A9"/>
    <w:rsid w:val="00313967"/>
    <w:rsid w:val="00316D6F"/>
    <w:rsid w:val="00322A71"/>
    <w:rsid w:val="00326528"/>
    <w:rsid w:val="00331F93"/>
    <w:rsid w:val="0033788C"/>
    <w:rsid w:val="003454F4"/>
    <w:rsid w:val="00346471"/>
    <w:rsid w:val="0035035C"/>
    <w:rsid w:val="00350C76"/>
    <w:rsid w:val="00360484"/>
    <w:rsid w:val="003634E1"/>
    <w:rsid w:val="003656B7"/>
    <w:rsid w:val="003716D5"/>
    <w:rsid w:val="00371CA3"/>
    <w:rsid w:val="003724A1"/>
    <w:rsid w:val="003724B9"/>
    <w:rsid w:val="003737EA"/>
    <w:rsid w:val="00374CD2"/>
    <w:rsid w:val="00374DE5"/>
    <w:rsid w:val="00380072"/>
    <w:rsid w:val="00383315"/>
    <w:rsid w:val="00383571"/>
    <w:rsid w:val="003847C2"/>
    <w:rsid w:val="003848D2"/>
    <w:rsid w:val="00384E3C"/>
    <w:rsid w:val="00385361"/>
    <w:rsid w:val="00387EE4"/>
    <w:rsid w:val="00391941"/>
    <w:rsid w:val="003A411F"/>
    <w:rsid w:val="003A7500"/>
    <w:rsid w:val="003B0190"/>
    <w:rsid w:val="003B1B0F"/>
    <w:rsid w:val="003B2433"/>
    <w:rsid w:val="003B3DE4"/>
    <w:rsid w:val="003B4FF6"/>
    <w:rsid w:val="003C19A2"/>
    <w:rsid w:val="003C445D"/>
    <w:rsid w:val="003C5CD6"/>
    <w:rsid w:val="003C5FFA"/>
    <w:rsid w:val="003C6531"/>
    <w:rsid w:val="003D2698"/>
    <w:rsid w:val="003D41D2"/>
    <w:rsid w:val="003E03EA"/>
    <w:rsid w:val="003F518F"/>
    <w:rsid w:val="003F5E3E"/>
    <w:rsid w:val="003F73AF"/>
    <w:rsid w:val="003F7842"/>
    <w:rsid w:val="0040034A"/>
    <w:rsid w:val="0040069B"/>
    <w:rsid w:val="00403FA9"/>
    <w:rsid w:val="004057B5"/>
    <w:rsid w:val="00412544"/>
    <w:rsid w:val="00420235"/>
    <w:rsid w:val="00421168"/>
    <w:rsid w:val="00421D2E"/>
    <w:rsid w:val="004220EA"/>
    <w:rsid w:val="0043500E"/>
    <w:rsid w:val="00435591"/>
    <w:rsid w:val="00440F4F"/>
    <w:rsid w:val="00442BFE"/>
    <w:rsid w:val="0044315A"/>
    <w:rsid w:val="00445119"/>
    <w:rsid w:val="00446B5C"/>
    <w:rsid w:val="00452769"/>
    <w:rsid w:val="00460734"/>
    <w:rsid w:val="0046639D"/>
    <w:rsid w:val="004670A7"/>
    <w:rsid w:val="00474478"/>
    <w:rsid w:val="00475E1B"/>
    <w:rsid w:val="00476815"/>
    <w:rsid w:val="0048709D"/>
    <w:rsid w:val="004870D7"/>
    <w:rsid w:val="00495886"/>
    <w:rsid w:val="004A289B"/>
    <w:rsid w:val="004A4D93"/>
    <w:rsid w:val="004B3166"/>
    <w:rsid w:val="004B32C5"/>
    <w:rsid w:val="004B3B29"/>
    <w:rsid w:val="004B51F8"/>
    <w:rsid w:val="004B79BB"/>
    <w:rsid w:val="004C26F9"/>
    <w:rsid w:val="004D1822"/>
    <w:rsid w:val="004D39F3"/>
    <w:rsid w:val="004D7D18"/>
    <w:rsid w:val="004E0691"/>
    <w:rsid w:val="004E14AF"/>
    <w:rsid w:val="004E4A95"/>
    <w:rsid w:val="004E6B18"/>
    <w:rsid w:val="004F3C91"/>
    <w:rsid w:val="004F565F"/>
    <w:rsid w:val="004F6995"/>
    <w:rsid w:val="00501B52"/>
    <w:rsid w:val="00502541"/>
    <w:rsid w:val="00506942"/>
    <w:rsid w:val="00511429"/>
    <w:rsid w:val="00515EF4"/>
    <w:rsid w:val="00520267"/>
    <w:rsid w:val="00520C2A"/>
    <w:rsid w:val="00522DF5"/>
    <w:rsid w:val="005243CB"/>
    <w:rsid w:val="00525726"/>
    <w:rsid w:val="00534CA7"/>
    <w:rsid w:val="00542700"/>
    <w:rsid w:val="00550F3A"/>
    <w:rsid w:val="00553785"/>
    <w:rsid w:val="005538D8"/>
    <w:rsid w:val="0055392F"/>
    <w:rsid w:val="005602C8"/>
    <w:rsid w:val="00561D0C"/>
    <w:rsid w:val="005658EA"/>
    <w:rsid w:val="005664B3"/>
    <w:rsid w:val="00567138"/>
    <w:rsid w:val="005675D9"/>
    <w:rsid w:val="00570CEB"/>
    <w:rsid w:val="005719AB"/>
    <w:rsid w:val="00573F98"/>
    <w:rsid w:val="00577FE5"/>
    <w:rsid w:val="00581AD5"/>
    <w:rsid w:val="0058681E"/>
    <w:rsid w:val="00592F05"/>
    <w:rsid w:val="005937E6"/>
    <w:rsid w:val="00593B5B"/>
    <w:rsid w:val="00594D09"/>
    <w:rsid w:val="005A023B"/>
    <w:rsid w:val="005A120F"/>
    <w:rsid w:val="005B06C5"/>
    <w:rsid w:val="005B1DC2"/>
    <w:rsid w:val="005B1E3B"/>
    <w:rsid w:val="005B2E8E"/>
    <w:rsid w:val="005B6E80"/>
    <w:rsid w:val="005C0619"/>
    <w:rsid w:val="005C318F"/>
    <w:rsid w:val="005C33C0"/>
    <w:rsid w:val="005C60B4"/>
    <w:rsid w:val="005C787B"/>
    <w:rsid w:val="005D095F"/>
    <w:rsid w:val="005D11D2"/>
    <w:rsid w:val="005E36DB"/>
    <w:rsid w:val="005E6BFE"/>
    <w:rsid w:val="005F47FF"/>
    <w:rsid w:val="00602DFC"/>
    <w:rsid w:val="0060309D"/>
    <w:rsid w:val="006034F8"/>
    <w:rsid w:val="00603D86"/>
    <w:rsid w:val="006127C0"/>
    <w:rsid w:val="006128DB"/>
    <w:rsid w:val="00615A1B"/>
    <w:rsid w:val="00617318"/>
    <w:rsid w:val="006254C6"/>
    <w:rsid w:val="00627983"/>
    <w:rsid w:val="00630208"/>
    <w:rsid w:val="0063608A"/>
    <w:rsid w:val="00640685"/>
    <w:rsid w:val="00641060"/>
    <w:rsid w:val="00642D8F"/>
    <w:rsid w:val="00643BF8"/>
    <w:rsid w:val="00644FA4"/>
    <w:rsid w:val="00646B98"/>
    <w:rsid w:val="00650A05"/>
    <w:rsid w:val="00656FDF"/>
    <w:rsid w:val="00657DAF"/>
    <w:rsid w:val="00662A42"/>
    <w:rsid w:val="006632EC"/>
    <w:rsid w:val="00666791"/>
    <w:rsid w:val="00670217"/>
    <w:rsid w:val="00671EA9"/>
    <w:rsid w:val="006729CE"/>
    <w:rsid w:val="00674410"/>
    <w:rsid w:val="0068443D"/>
    <w:rsid w:val="00685DE1"/>
    <w:rsid w:val="00692B91"/>
    <w:rsid w:val="0069664B"/>
    <w:rsid w:val="006A02BB"/>
    <w:rsid w:val="006A0FDF"/>
    <w:rsid w:val="006A16EC"/>
    <w:rsid w:val="006A2590"/>
    <w:rsid w:val="006A33B9"/>
    <w:rsid w:val="006A54A4"/>
    <w:rsid w:val="006B0F51"/>
    <w:rsid w:val="006B158F"/>
    <w:rsid w:val="006B4D26"/>
    <w:rsid w:val="006B4FC9"/>
    <w:rsid w:val="006B7A79"/>
    <w:rsid w:val="006C15C8"/>
    <w:rsid w:val="006C22B8"/>
    <w:rsid w:val="006C39B3"/>
    <w:rsid w:val="006C3AB8"/>
    <w:rsid w:val="006C5183"/>
    <w:rsid w:val="006D7477"/>
    <w:rsid w:val="006E45A8"/>
    <w:rsid w:val="006F63B0"/>
    <w:rsid w:val="006F6A24"/>
    <w:rsid w:val="007057C0"/>
    <w:rsid w:val="00705BDD"/>
    <w:rsid w:val="00705CB3"/>
    <w:rsid w:val="00710B59"/>
    <w:rsid w:val="00712657"/>
    <w:rsid w:val="00714CA1"/>
    <w:rsid w:val="00716321"/>
    <w:rsid w:val="00716EF3"/>
    <w:rsid w:val="0071798B"/>
    <w:rsid w:val="007253E8"/>
    <w:rsid w:val="00726F50"/>
    <w:rsid w:val="0073055C"/>
    <w:rsid w:val="00736AB3"/>
    <w:rsid w:val="00736ACD"/>
    <w:rsid w:val="00740164"/>
    <w:rsid w:val="00740A2C"/>
    <w:rsid w:val="007558AB"/>
    <w:rsid w:val="007614D1"/>
    <w:rsid w:val="00767334"/>
    <w:rsid w:val="0076753E"/>
    <w:rsid w:val="007726DF"/>
    <w:rsid w:val="00777AFD"/>
    <w:rsid w:val="0078122D"/>
    <w:rsid w:val="0078348D"/>
    <w:rsid w:val="00783842"/>
    <w:rsid w:val="00787795"/>
    <w:rsid w:val="007877F8"/>
    <w:rsid w:val="007918DE"/>
    <w:rsid w:val="00792A53"/>
    <w:rsid w:val="00792DB8"/>
    <w:rsid w:val="00793F80"/>
    <w:rsid w:val="00796FFF"/>
    <w:rsid w:val="007977F0"/>
    <w:rsid w:val="007A18F6"/>
    <w:rsid w:val="007B0C84"/>
    <w:rsid w:val="007B2244"/>
    <w:rsid w:val="007B2A37"/>
    <w:rsid w:val="007B617D"/>
    <w:rsid w:val="007B6B96"/>
    <w:rsid w:val="007B763A"/>
    <w:rsid w:val="007B7BD0"/>
    <w:rsid w:val="007C4919"/>
    <w:rsid w:val="007C75A7"/>
    <w:rsid w:val="007D3648"/>
    <w:rsid w:val="007D6A38"/>
    <w:rsid w:val="007E3B0E"/>
    <w:rsid w:val="007E4D0F"/>
    <w:rsid w:val="007F6854"/>
    <w:rsid w:val="00801FD2"/>
    <w:rsid w:val="008044B9"/>
    <w:rsid w:val="00807A78"/>
    <w:rsid w:val="00812B23"/>
    <w:rsid w:val="00812ED3"/>
    <w:rsid w:val="00814FD9"/>
    <w:rsid w:val="00816620"/>
    <w:rsid w:val="00817DC0"/>
    <w:rsid w:val="00821E3D"/>
    <w:rsid w:val="008233BB"/>
    <w:rsid w:val="00823867"/>
    <w:rsid w:val="008306D6"/>
    <w:rsid w:val="00830A44"/>
    <w:rsid w:val="008338A5"/>
    <w:rsid w:val="00835683"/>
    <w:rsid w:val="008362CE"/>
    <w:rsid w:val="00837316"/>
    <w:rsid w:val="00840588"/>
    <w:rsid w:val="0084208A"/>
    <w:rsid w:val="00842E65"/>
    <w:rsid w:val="00844037"/>
    <w:rsid w:val="00844102"/>
    <w:rsid w:val="0085198F"/>
    <w:rsid w:val="00854C2B"/>
    <w:rsid w:val="008562E9"/>
    <w:rsid w:val="00860E56"/>
    <w:rsid w:val="00861C31"/>
    <w:rsid w:val="008628FD"/>
    <w:rsid w:val="008667BF"/>
    <w:rsid w:val="008701F5"/>
    <w:rsid w:val="0087082F"/>
    <w:rsid w:val="008732F3"/>
    <w:rsid w:val="008804CD"/>
    <w:rsid w:val="008917E6"/>
    <w:rsid w:val="00892E24"/>
    <w:rsid w:val="00892F9E"/>
    <w:rsid w:val="008972EA"/>
    <w:rsid w:val="008A246C"/>
    <w:rsid w:val="008A36D9"/>
    <w:rsid w:val="008A57F3"/>
    <w:rsid w:val="008A5B89"/>
    <w:rsid w:val="008A7A49"/>
    <w:rsid w:val="008B0BF5"/>
    <w:rsid w:val="008B117E"/>
    <w:rsid w:val="008B13F7"/>
    <w:rsid w:val="008B153E"/>
    <w:rsid w:val="008B4478"/>
    <w:rsid w:val="008B4ACD"/>
    <w:rsid w:val="008B636A"/>
    <w:rsid w:val="008C03ED"/>
    <w:rsid w:val="008C2944"/>
    <w:rsid w:val="008C5B2A"/>
    <w:rsid w:val="008D465C"/>
    <w:rsid w:val="008E2A1F"/>
    <w:rsid w:val="0090663D"/>
    <w:rsid w:val="009103AD"/>
    <w:rsid w:val="00911392"/>
    <w:rsid w:val="009158AF"/>
    <w:rsid w:val="00915B8F"/>
    <w:rsid w:val="009247F9"/>
    <w:rsid w:val="00932D08"/>
    <w:rsid w:val="00936B26"/>
    <w:rsid w:val="00940489"/>
    <w:rsid w:val="0094695E"/>
    <w:rsid w:val="00951074"/>
    <w:rsid w:val="00955AF8"/>
    <w:rsid w:val="00956E80"/>
    <w:rsid w:val="0096351A"/>
    <w:rsid w:val="00963CBA"/>
    <w:rsid w:val="00963DB3"/>
    <w:rsid w:val="00964829"/>
    <w:rsid w:val="009658A8"/>
    <w:rsid w:val="009672D7"/>
    <w:rsid w:val="009737DA"/>
    <w:rsid w:val="0097687F"/>
    <w:rsid w:val="009771F2"/>
    <w:rsid w:val="00977C1A"/>
    <w:rsid w:val="00980CFC"/>
    <w:rsid w:val="00982A97"/>
    <w:rsid w:val="00986AFE"/>
    <w:rsid w:val="00987C6F"/>
    <w:rsid w:val="009943B9"/>
    <w:rsid w:val="009A1AD8"/>
    <w:rsid w:val="009A638D"/>
    <w:rsid w:val="009A6E71"/>
    <w:rsid w:val="009A77F0"/>
    <w:rsid w:val="009B4C9C"/>
    <w:rsid w:val="009B7898"/>
    <w:rsid w:val="009C155E"/>
    <w:rsid w:val="009C387E"/>
    <w:rsid w:val="009C6F14"/>
    <w:rsid w:val="009C7F20"/>
    <w:rsid w:val="009D61A8"/>
    <w:rsid w:val="009D6ED0"/>
    <w:rsid w:val="009E3BAC"/>
    <w:rsid w:val="009E589A"/>
    <w:rsid w:val="009E7C12"/>
    <w:rsid w:val="009F11AC"/>
    <w:rsid w:val="009F4291"/>
    <w:rsid w:val="009F751C"/>
    <w:rsid w:val="009F788E"/>
    <w:rsid w:val="009F7E86"/>
    <w:rsid w:val="00A0412E"/>
    <w:rsid w:val="00A1085A"/>
    <w:rsid w:val="00A10C80"/>
    <w:rsid w:val="00A27D43"/>
    <w:rsid w:val="00A323C9"/>
    <w:rsid w:val="00A35BE1"/>
    <w:rsid w:val="00A36DBE"/>
    <w:rsid w:val="00A407AB"/>
    <w:rsid w:val="00A41D16"/>
    <w:rsid w:val="00A42949"/>
    <w:rsid w:val="00A57960"/>
    <w:rsid w:val="00A60D91"/>
    <w:rsid w:val="00A6278C"/>
    <w:rsid w:val="00A662AA"/>
    <w:rsid w:val="00A66D31"/>
    <w:rsid w:val="00A675C8"/>
    <w:rsid w:val="00A72E9D"/>
    <w:rsid w:val="00A72F34"/>
    <w:rsid w:val="00A7562C"/>
    <w:rsid w:val="00A76E3E"/>
    <w:rsid w:val="00A82EF1"/>
    <w:rsid w:val="00A854DD"/>
    <w:rsid w:val="00A87835"/>
    <w:rsid w:val="00A93134"/>
    <w:rsid w:val="00A95C16"/>
    <w:rsid w:val="00AA3B7C"/>
    <w:rsid w:val="00AA651A"/>
    <w:rsid w:val="00AB4A01"/>
    <w:rsid w:val="00AB4A8A"/>
    <w:rsid w:val="00AB6A68"/>
    <w:rsid w:val="00AD06D2"/>
    <w:rsid w:val="00AD27CF"/>
    <w:rsid w:val="00AD27FB"/>
    <w:rsid w:val="00AE2379"/>
    <w:rsid w:val="00AF2FCB"/>
    <w:rsid w:val="00AF49D0"/>
    <w:rsid w:val="00B033EC"/>
    <w:rsid w:val="00B10C70"/>
    <w:rsid w:val="00B10C8C"/>
    <w:rsid w:val="00B13A2E"/>
    <w:rsid w:val="00B15255"/>
    <w:rsid w:val="00B175A0"/>
    <w:rsid w:val="00B17B03"/>
    <w:rsid w:val="00B22FF3"/>
    <w:rsid w:val="00B23E24"/>
    <w:rsid w:val="00B241C8"/>
    <w:rsid w:val="00B24242"/>
    <w:rsid w:val="00B24DBE"/>
    <w:rsid w:val="00B262E3"/>
    <w:rsid w:val="00B26C79"/>
    <w:rsid w:val="00B33F9E"/>
    <w:rsid w:val="00B34149"/>
    <w:rsid w:val="00B345AE"/>
    <w:rsid w:val="00B34E70"/>
    <w:rsid w:val="00B42FC2"/>
    <w:rsid w:val="00B43CF9"/>
    <w:rsid w:val="00B4612E"/>
    <w:rsid w:val="00B46AB8"/>
    <w:rsid w:val="00B51750"/>
    <w:rsid w:val="00B536C7"/>
    <w:rsid w:val="00B56E97"/>
    <w:rsid w:val="00B615D6"/>
    <w:rsid w:val="00B6351B"/>
    <w:rsid w:val="00B6616B"/>
    <w:rsid w:val="00B66E54"/>
    <w:rsid w:val="00B72AED"/>
    <w:rsid w:val="00B766D2"/>
    <w:rsid w:val="00B80685"/>
    <w:rsid w:val="00B86B0C"/>
    <w:rsid w:val="00B87506"/>
    <w:rsid w:val="00B87C3D"/>
    <w:rsid w:val="00B87D31"/>
    <w:rsid w:val="00B91553"/>
    <w:rsid w:val="00B94094"/>
    <w:rsid w:val="00B941D3"/>
    <w:rsid w:val="00B96635"/>
    <w:rsid w:val="00BA12B7"/>
    <w:rsid w:val="00BA2717"/>
    <w:rsid w:val="00BB11BA"/>
    <w:rsid w:val="00BB27FE"/>
    <w:rsid w:val="00BB385E"/>
    <w:rsid w:val="00BB4398"/>
    <w:rsid w:val="00BB54EE"/>
    <w:rsid w:val="00BC6D97"/>
    <w:rsid w:val="00BC7D9C"/>
    <w:rsid w:val="00BD0C3E"/>
    <w:rsid w:val="00BD1D2E"/>
    <w:rsid w:val="00BD2370"/>
    <w:rsid w:val="00BE3FBE"/>
    <w:rsid w:val="00BE5413"/>
    <w:rsid w:val="00BF1B9B"/>
    <w:rsid w:val="00BF3AD8"/>
    <w:rsid w:val="00BF7216"/>
    <w:rsid w:val="00C04C06"/>
    <w:rsid w:val="00C057D7"/>
    <w:rsid w:val="00C10022"/>
    <w:rsid w:val="00C10E3F"/>
    <w:rsid w:val="00C16AFC"/>
    <w:rsid w:val="00C23321"/>
    <w:rsid w:val="00C2474F"/>
    <w:rsid w:val="00C24E9E"/>
    <w:rsid w:val="00C27846"/>
    <w:rsid w:val="00C318B6"/>
    <w:rsid w:val="00C37037"/>
    <w:rsid w:val="00C424AD"/>
    <w:rsid w:val="00C46EAD"/>
    <w:rsid w:val="00C470CD"/>
    <w:rsid w:val="00C475B4"/>
    <w:rsid w:val="00C533AA"/>
    <w:rsid w:val="00C61FB6"/>
    <w:rsid w:val="00C6266B"/>
    <w:rsid w:val="00C634ED"/>
    <w:rsid w:val="00C6533A"/>
    <w:rsid w:val="00C65347"/>
    <w:rsid w:val="00C66BEA"/>
    <w:rsid w:val="00C75CB7"/>
    <w:rsid w:val="00C77FF1"/>
    <w:rsid w:val="00C80085"/>
    <w:rsid w:val="00C80AF8"/>
    <w:rsid w:val="00C84CF5"/>
    <w:rsid w:val="00C90442"/>
    <w:rsid w:val="00C95A41"/>
    <w:rsid w:val="00CA0BB3"/>
    <w:rsid w:val="00CA1AE9"/>
    <w:rsid w:val="00CA6D00"/>
    <w:rsid w:val="00CB005F"/>
    <w:rsid w:val="00CB22D5"/>
    <w:rsid w:val="00CB58F1"/>
    <w:rsid w:val="00CB68BB"/>
    <w:rsid w:val="00CC7602"/>
    <w:rsid w:val="00CC76FD"/>
    <w:rsid w:val="00CD044A"/>
    <w:rsid w:val="00CD2103"/>
    <w:rsid w:val="00CD2FFD"/>
    <w:rsid w:val="00CD3997"/>
    <w:rsid w:val="00CD5BCA"/>
    <w:rsid w:val="00CE0E06"/>
    <w:rsid w:val="00CE3DF8"/>
    <w:rsid w:val="00CE43D5"/>
    <w:rsid w:val="00CE46FA"/>
    <w:rsid w:val="00CE6672"/>
    <w:rsid w:val="00CE69C2"/>
    <w:rsid w:val="00CE792E"/>
    <w:rsid w:val="00CF2427"/>
    <w:rsid w:val="00CF3E7C"/>
    <w:rsid w:val="00CF4762"/>
    <w:rsid w:val="00CF590F"/>
    <w:rsid w:val="00CF64B5"/>
    <w:rsid w:val="00CF7BEE"/>
    <w:rsid w:val="00CF7C46"/>
    <w:rsid w:val="00D000DE"/>
    <w:rsid w:val="00D039FA"/>
    <w:rsid w:val="00D12331"/>
    <w:rsid w:val="00D132A9"/>
    <w:rsid w:val="00D13867"/>
    <w:rsid w:val="00D2362F"/>
    <w:rsid w:val="00D25CEB"/>
    <w:rsid w:val="00D330F7"/>
    <w:rsid w:val="00D3355C"/>
    <w:rsid w:val="00D36D5F"/>
    <w:rsid w:val="00D439A8"/>
    <w:rsid w:val="00D46DBD"/>
    <w:rsid w:val="00D527BD"/>
    <w:rsid w:val="00D56C2C"/>
    <w:rsid w:val="00D56CFF"/>
    <w:rsid w:val="00D6012D"/>
    <w:rsid w:val="00D61ED9"/>
    <w:rsid w:val="00D623F7"/>
    <w:rsid w:val="00D665A9"/>
    <w:rsid w:val="00D72A7B"/>
    <w:rsid w:val="00D72BDF"/>
    <w:rsid w:val="00D82919"/>
    <w:rsid w:val="00D87314"/>
    <w:rsid w:val="00D907D0"/>
    <w:rsid w:val="00D96EC5"/>
    <w:rsid w:val="00DA12C0"/>
    <w:rsid w:val="00DA3042"/>
    <w:rsid w:val="00DA40BF"/>
    <w:rsid w:val="00DA6E38"/>
    <w:rsid w:val="00DB0558"/>
    <w:rsid w:val="00DB348B"/>
    <w:rsid w:val="00DC1536"/>
    <w:rsid w:val="00DC611C"/>
    <w:rsid w:val="00DC6DCC"/>
    <w:rsid w:val="00DC6E92"/>
    <w:rsid w:val="00DC7B5A"/>
    <w:rsid w:val="00DE212A"/>
    <w:rsid w:val="00DE26AB"/>
    <w:rsid w:val="00DE3A4D"/>
    <w:rsid w:val="00DF57F4"/>
    <w:rsid w:val="00DF66C3"/>
    <w:rsid w:val="00DF7050"/>
    <w:rsid w:val="00DF7421"/>
    <w:rsid w:val="00E00198"/>
    <w:rsid w:val="00E00EA1"/>
    <w:rsid w:val="00E01851"/>
    <w:rsid w:val="00E05EF4"/>
    <w:rsid w:val="00E13E6E"/>
    <w:rsid w:val="00E159A2"/>
    <w:rsid w:val="00E15F5A"/>
    <w:rsid w:val="00E22518"/>
    <w:rsid w:val="00E23050"/>
    <w:rsid w:val="00E23376"/>
    <w:rsid w:val="00E246EE"/>
    <w:rsid w:val="00E252B3"/>
    <w:rsid w:val="00E2554B"/>
    <w:rsid w:val="00E305D1"/>
    <w:rsid w:val="00E33153"/>
    <w:rsid w:val="00E33B08"/>
    <w:rsid w:val="00E3593F"/>
    <w:rsid w:val="00E404C9"/>
    <w:rsid w:val="00E41037"/>
    <w:rsid w:val="00E45995"/>
    <w:rsid w:val="00E56630"/>
    <w:rsid w:val="00E61A36"/>
    <w:rsid w:val="00E61FA3"/>
    <w:rsid w:val="00E62A44"/>
    <w:rsid w:val="00E65B4B"/>
    <w:rsid w:val="00E6609A"/>
    <w:rsid w:val="00E7118F"/>
    <w:rsid w:val="00E7130E"/>
    <w:rsid w:val="00E72681"/>
    <w:rsid w:val="00E75A78"/>
    <w:rsid w:val="00E76550"/>
    <w:rsid w:val="00E840F2"/>
    <w:rsid w:val="00E845C5"/>
    <w:rsid w:val="00E93093"/>
    <w:rsid w:val="00EA2492"/>
    <w:rsid w:val="00EA70B7"/>
    <w:rsid w:val="00EB036A"/>
    <w:rsid w:val="00EB077C"/>
    <w:rsid w:val="00EB4330"/>
    <w:rsid w:val="00EB4632"/>
    <w:rsid w:val="00EB6A67"/>
    <w:rsid w:val="00EC038E"/>
    <w:rsid w:val="00EC1367"/>
    <w:rsid w:val="00EC26AC"/>
    <w:rsid w:val="00EC43A9"/>
    <w:rsid w:val="00EC50D0"/>
    <w:rsid w:val="00EC510A"/>
    <w:rsid w:val="00EC5ABE"/>
    <w:rsid w:val="00ED1973"/>
    <w:rsid w:val="00ED3854"/>
    <w:rsid w:val="00ED4CD9"/>
    <w:rsid w:val="00ED6ABA"/>
    <w:rsid w:val="00EE30A3"/>
    <w:rsid w:val="00EE3DBE"/>
    <w:rsid w:val="00EE5AA6"/>
    <w:rsid w:val="00EF4C77"/>
    <w:rsid w:val="00EF525B"/>
    <w:rsid w:val="00EF5929"/>
    <w:rsid w:val="00EF6894"/>
    <w:rsid w:val="00F00A78"/>
    <w:rsid w:val="00F00AEF"/>
    <w:rsid w:val="00F00C8E"/>
    <w:rsid w:val="00F01EE6"/>
    <w:rsid w:val="00F12B43"/>
    <w:rsid w:val="00F17605"/>
    <w:rsid w:val="00F17F97"/>
    <w:rsid w:val="00F3109F"/>
    <w:rsid w:val="00F32A70"/>
    <w:rsid w:val="00F3587B"/>
    <w:rsid w:val="00F35CA5"/>
    <w:rsid w:val="00F36437"/>
    <w:rsid w:val="00F43B5F"/>
    <w:rsid w:val="00F46D95"/>
    <w:rsid w:val="00F500DF"/>
    <w:rsid w:val="00F517A1"/>
    <w:rsid w:val="00F55A8A"/>
    <w:rsid w:val="00F57623"/>
    <w:rsid w:val="00F647C7"/>
    <w:rsid w:val="00F6550B"/>
    <w:rsid w:val="00F67F3E"/>
    <w:rsid w:val="00F7301A"/>
    <w:rsid w:val="00F752C9"/>
    <w:rsid w:val="00F75C03"/>
    <w:rsid w:val="00F76CFE"/>
    <w:rsid w:val="00F80311"/>
    <w:rsid w:val="00F807B8"/>
    <w:rsid w:val="00F80B3B"/>
    <w:rsid w:val="00F907AA"/>
    <w:rsid w:val="00F953D8"/>
    <w:rsid w:val="00F972F9"/>
    <w:rsid w:val="00FA0E87"/>
    <w:rsid w:val="00FA2282"/>
    <w:rsid w:val="00FA2A12"/>
    <w:rsid w:val="00FA305D"/>
    <w:rsid w:val="00FA7B3B"/>
    <w:rsid w:val="00FA7F47"/>
    <w:rsid w:val="00FC0B9D"/>
    <w:rsid w:val="00FC186C"/>
    <w:rsid w:val="00FC32FB"/>
    <w:rsid w:val="00FC3D24"/>
    <w:rsid w:val="00FD1622"/>
    <w:rsid w:val="00FD3931"/>
    <w:rsid w:val="00FE0DB7"/>
    <w:rsid w:val="00FE0E27"/>
    <w:rsid w:val="00FE0E90"/>
    <w:rsid w:val="00FE3E69"/>
    <w:rsid w:val="00FE508C"/>
    <w:rsid w:val="00FF0B07"/>
    <w:rsid w:val="00FF0FDA"/>
    <w:rsid w:val="00FF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Hyperlink" w:uiPriority="0" w:qFormat="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421168"/>
    <w:pPr>
      <w:spacing w:line="276" w:lineRule="auto"/>
    </w:pPr>
    <w:rPr>
      <w:rFonts w:ascii="Arial" w:eastAsia="Arial" w:hAnsi="Arial" w:cs="Arial"/>
      <w:color w:val="000000"/>
      <w:sz w:val="22"/>
      <w:szCs w:val="22"/>
    </w:rPr>
  </w:style>
  <w:style w:type="paragraph" w:styleId="Heading4">
    <w:name w:val="heading 4"/>
    <w:basedOn w:val="Normal"/>
    <w:next w:val="Normal"/>
    <w:link w:val="Heading4Char"/>
    <w:rsid w:val="0042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semiHidden/>
    <w:qFormat/>
    <w:rsid w:val="009E3B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117A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D3578"/>
  </w:style>
  <w:style w:type="paragraph" w:styleId="Footer">
    <w:name w:val="footer"/>
    <w:basedOn w:val="Normal"/>
    <w:link w:val="FooterChar"/>
    <w:uiPriority w:val="99"/>
    <w:semiHidden/>
    <w:rsid w:val="003117A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D3578"/>
  </w:style>
  <w:style w:type="paragraph" w:customStyle="1" w:styleId="GRP001Header">
    <w:name w:val="GRP 001 Header"/>
    <w:qFormat/>
    <w:rsid w:val="007253E8"/>
    <w:pPr>
      <w:ind w:left="1418"/>
      <w:jc w:val="right"/>
    </w:pPr>
    <w:rPr>
      <w:rFonts w:ascii="Arial Narrow" w:eastAsia="Times New Roman" w:hAnsi="Arial Narrow"/>
      <w:caps/>
      <w:noProof/>
      <w:color w:val="F68C50"/>
      <w:spacing w:val="-30"/>
      <w:sz w:val="64"/>
      <w:szCs w:val="72"/>
    </w:rPr>
  </w:style>
  <w:style w:type="paragraph" w:customStyle="1" w:styleId="GRP002BriefTitle">
    <w:name w:val="GRP 002 Brief Title"/>
    <w:qFormat/>
    <w:rsid w:val="007253E8"/>
    <w:pPr>
      <w:spacing w:after="100" w:afterAutospacing="1" w:line="720" w:lineRule="exact"/>
      <w:ind w:left="567"/>
      <w:jc w:val="right"/>
    </w:pPr>
    <w:rPr>
      <w:rFonts w:ascii="Arial Narrow" w:eastAsia="Times New Roman" w:hAnsi="Arial Narrow"/>
      <w:caps/>
      <w:noProof/>
      <w:color w:val="FAA61A"/>
      <w:spacing w:val="-30"/>
      <w:sz w:val="64"/>
      <w:szCs w:val="72"/>
    </w:rPr>
  </w:style>
  <w:style w:type="paragraph" w:customStyle="1" w:styleId="GRP003Date">
    <w:name w:val="GRP 003 Date"/>
    <w:qFormat/>
    <w:rsid w:val="007253E8"/>
    <w:pPr>
      <w:spacing w:line="280" w:lineRule="exact"/>
      <w:jc w:val="right"/>
    </w:pPr>
    <w:rPr>
      <w:rFonts w:ascii="Arial Narrow" w:eastAsia="Times New Roman" w:hAnsi="Arial Narrow"/>
      <w:color w:val="F68C50"/>
      <w:spacing w:val="-20"/>
      <w:sz w:val="28"/>
      <w:szCs w:val="32"/>
      <w:lang w:eastAsia="en-IE"/>
    </w:rPr>
  </w:style>
  <w:style w:type="paragraph" w:customStyle="1" w:styleId="GRP004AbstractBox">
    <w:name w:val="GRP 004 Abstract Box"/>
    <w:qFormat/>
    <w:rsid w:val="00792A53"/>
    <w:pPr>
      <w:spacing w:after="60" w:line="276" w:lineRule="auto"/>
    </w:pPr>
    <w:rPr>
      <w:rFonts w:ascii="Georgia" w:eastAsia="Times New Roman" w:hAnsi="Georgia"/>
      <w:color w:val="F37043"/>
      <w:sz w:val="22"/>
      <w:szCs w:val="24"/>
      <w:lang w:eastAsia="en-US"/>
    </w:rPr>
  </w:style>
  <w:style w:type="paragraph" w:customStyle="1" w:styleId="GRP005SubtitleLv1">
    <w:name w:val="GRP 005 Subtitle Lv1"/>
    <w:next w:val="GRP009Normal"/>
    <w:qFormat/>
    <w:rsid w:val="00CD2103"/>
    <w:pPr>
      <w:keepNext/>
      <w:pBdr>
        <w:bottom w:val="single" w:sz="4" w:space="1" w:color="DA1D52"/>
      </w:pBdr>
      <w:spacing w:before="240" w:after="120"/>
    </w:pPr>
    <w:rPr>
      <w:rFonts w:ascii="Arial Narrow" w:hAnsi="Arial Narrow"/>
      <w:b/>
      <w:smallCaps/>
      <w:color w:val="F68C50"/>
      <w:spacing w:val="-20"/>
      <w:sz w:val="56"/>
      <w:szCs w:val="22"/>
      <w:lang w:eastAsia="en-US"/>
    </w:rPr>
  </w:style>
  <w:style w:type="paragraph" w:customStyle="1" w:styleId="GRP006SubtitleLv2">
    <w:name w:val="GRP 006 Subtitle Lv2"/>
    <w:next w:val="GRP009Normal"/>
    <w:qFormat/>
    <w:rsid w:val="00CD2103"/>
    <w:pPr>
      <w:keepNext/>
      <w:spacing w:after="60"/>
    </w:pPr>
    <w:rPr>
      <w:rFonts w:ascii="Arial" w:hAnsi="Arial" w:cs="Arial"/>
      <w:color w:val="F68C50"/>
      <w:spacing w:val="-20"/>
      <w:sz w:val="40"/>
      <w:szCs w:val="22"/>
      <w:lang w:eastAsia="en-US"/>
    </w:rPr>
  </w:style>
  <w:style w:type="paragraph" w:customStyle="1" w:styleId="GRP007SubtitleLv3">
    <w:name w:val="GRP 007 Subtitle Lv3"/>
    <w:next w:val="GRP009Normal"/>
    <w:qFormat/>
    <w:rsid w:val="00CD2103"/>
    <w:pPr>
      <w:keepNext/>
      <w:spacing w:after="60"/>
    </w:pPr>
    <w:rPr>
      <w:rFonts w:ascii="Arial Narrow" w:hAnsi="Arial Narrow"/>
      <w:color w:val="FAA61A"/>
      <w:spacing w:val="-20"/>
      <w:sz w:val="32"/>
      <w:szCs w:val="22"/>
      <w:lang w:eastAsia="en-US"/>
    </w:rPr>
  </w:style>
  <w:style w:type="paragraph" w:customStyle="1" w:styleId="GRP009Normal">
    <w:name w:val="GRP 009 Normal"/>
    <w:qFormat/>
    <w:rsid w:val="00792A53"/>
    <w:pPr>
      <w:spacing w:after="60" w:line="276" w:lineRule="auto"/>
      <w:jc w:val="both"/>
    </w:pPr>
    <w:rPr>
      <w:rFonts w:ascii="Arial" w:hAnsi="Arial"/>
      <w:sz w:val="22"/>
      <w:szCs w:val="22"/>
      <w:lang w:eastAsia="en-US"/>
    </w:rPr>
  </w:style>
  <w:style w:type="numbering" w:customStyle="1" w:styleId="HH10NumbersList">
    <w:name w:val="HH 10 Numbers List"/>
    <w:basedOn w:val="NoList"/>
    <w:uiPriority w:val="99"/>
    <w:rsid w:val="00844037"/>
    <w:pPr>
      <w:numPr>
        <w:numId w:val="15"/>
      </w:numPr>
    </w:pPr>
  </w:style>
  <w:style w:type="character" w:customStyle="1" w:styleId="GRP009aBold">
    <w:name w:val="GRP 009a Bold"/>
    <w:basedOn w:val="DefaultParagraphFont"/>
    <w:uiPriority w:val="1"/>
    <w:qFormat/>
    <w:rsid w:val="007558AB"/>
    <w:rPr>
      <w:b/>
    </w:rPr>
  </w:style>
  <w:style w:type="character" w:customStyle="1" w:styleId="GRP009bItalic">
    <w:name w:val="GRP 009b Italic"/>
    <w:basedOn w:val="DefaultParagraphFont"/>
    <w:uiPriority w:val="1"/>
    <w:qFormat/>
    <w:rsid w:val="007558AB"/>
    <w:rPr>
      <w:i/>
    </w:rPr>
  </w:style>
  <w:style w:type="character" w:customStyle="1" w:styleId="GRP009cUnderline">
    <w:name w:val="GRP 009c Underline"/>
    <w:basedOn w:val="DefaultParagraphFont"/>
    <w:uiPriority w:val="1"/>
    <w:qFormat/>
    <w:rsid w:val="007558AB"/>
    <w:rPr>
      <w:u w:val="single"/>
    </w:rPr>
  </w:style>
  <w:style w:type="character" w:customStyle="1" w:styleId="GRP009dBoldItalic">
    <w:name w:val="GRP 009d Bold Italic"/>
    <w:basedOn w:val="DefaultParagraphFont"/>
    <w:uiPriority w:val="1"/>
    <w:qFormat/>
    <w:rsid w:val="007558AB"/>
    <w:rPr>
      <w:b/>
      <w:i/>
    </w:rPr>
  </w:style>
  <w:style w:type="character" w:customStyle="1" w:styleId="GRP009eBoldUnderline">
    <w:name w:val="GRP 009e Bold Underline"/>
    <w:basedOn w:val="DefaultParagraphFont"/>
    <w:uiPriority w:val="1"/>
    <w:qFormat/>
    <w:rsid w:val="007558AB"/>
    <w:rPr>
      <w:b/>
      <w:u w:val="single"/>
    </w:rPr>
  </w:style>
  <w:style w:type="character" w:customStyle="1" w:styleId="GRP009fItalicUnderline">
    <w:name w:val="GRP 009f Italic Underline"/>
    <w:basedOn w:val="DefaultParagraphFont"/>
    <w:uiPriority w:val="1"/>
    <w:qFormat/>
    <w:rsid w:val="007558AB"/>
    <w:rPr>
      <w:i/>
      <w:u w:val="single"/>
    </w:rPr>
  </w:style>
  <w:style w:type="character" w:customStyle="1" w:styleId="GRP009g">
    <w:name w:val="GRP 009g"/>
    <w:basedOn w:val="DefaultParagraphFont"/>
    <w:uiPriority w:val="1"/>
    <w:qFormat/>
    <w:rsid w:val="007558AB"/>
    <w:rPr>
      <w:b/>
      <w:i/>
      <w:u w:val="single"/>
    </w:rPr>
  </w:style>
  <w:style w:type="character" w:styleId="Hyperlink">
    <w:name w:val="Hyperlink"/>
    <w:aliases w:val="GRP 11 Hyperlink"/>
    <w:basedOn w:val="DefaultParagraphFont"/>
    <w:qFormat/>
    <w:rsid w:val="004E6B18"/>
    <w:rPr>
      <w:color w:val="0000FF"/>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line="280" w:lineRule="exact"/>
      <w:jc w:val="both"/>
    </w:pPr>
    <w:rPr>
      <w:rFonts w:ascii="Arial" w:eastAsia="ヒラギノ角ゴ Pro W3" w:hAnsi="Arial"/>
      <w:i/>
      <w:color w:val="000000"/>
      <w:sz w:val="16"/>
      <w:szCs w:val="16"/>
      <w:lang w:val="en-US"/>
    </w:rPr>
  </w:style>
  <w:style w:type="paragraph" w:customStyle="1" w:styleId="GRP020PageNumber">
    <w:name w:val="GRP 020 Page Number"/>
    <w:qFormat/>
    <w:rsid w:val="007253E8"/>
    <w:pPr>
      <w:spacing w:after="200" w:line="276" w:lineRule="auto"/>
      <w:jc w:val="right"/>
    </w:pPr>
    <w:rPr>
      <w:rFonts w:ascii="Arial" w:eastAsia="ヒラギノ角ゴ Pro W3" w:hAnsi="Arial"/>
      <w:color w:val="000000"/>
      <w:sz w:val="16"/>
      <w:szCs w:val="16"/>
      <w:lang w:val="en-US"/>
    </w:rPr>
  </w:style>
  <w:style w:type="table" w:styleId="TableGrid">
    <w:name w:val="Table Grid"/>
    <w:basedOn w:val="TableNormal"/>
    <w:uiPriority w:val="59"/>
    <w:rsid w:val="005A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jc w:val="center"/>
    </w:pPr>
    <w:rPr>
      <w:rFonts w:ascii="Georgia" w:hAnsi="Georgia"/>
      <w:sz w:val="18"/>
    </w:rPr>
    <w:tblPr/>
    <w:tcPr>
      <w:shd w:val="clear" w:color="auto" w:fill="auto"/>
      <w:vAlign w:val="center"/>
    </w:tcPr>
    <w:tblStylePr w:type="firstRow">
      <w:pPr>
        <w:jc w:val="center"/>
      </w:pPr>
      <w:rPr>
        <w:rFonts w:ascii="WWF" w:hAnsi="WWF"/>
        <w:b w:val="0"/>
        <w:color w:val="FFFFFF"/>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GRP012TableTitle">
    <w:name w:val="GRP 012 Table Title"/>
    <w:qFormat/>
    <w:rsid w:val="007253E8"/>
    <w:pPr>
      <w:spacing w:before="120" w:after="60"/>
    </w:pPr>
    <w:rPr>
      <w:rFonts w:ascii="Arial" w:hAnsi="Arial"/>
      <w:b/>
      <w:sz w:val="22"/>
      <w:lang w:eastAsia="en-US"/>
    </w:rPr>
  </w:style>
  <w:style w:type="paragraph" w:customStyle="1" w:styleId="GRP013TableSource">
    <w:name w:val="GRP 013 Table Source"/>
    <w:qFormat/>
    <w:rsid w:val="007253E8"/>
    <w:pPr>
      <w:spacing w:before="60" w:after="120"/>
    </w:pPr>
    <w:rPr>
      <w:rFonts w:ascii="Arial" w:hAnsi="Arial"/>
      <w:i/>
      <w:sz w:val="17"/>
      <w:szCs w:val="17"/>
      <w:lang w:eastAsia="en-US"/>
    </w:rPr>
  </w:style>
  <w:style w:type="paragraph" w:customStyle="1" w:styleId="GRP10CiteIndent">
    <w:name w:val="GRP 10 Cite Indent"/>
    <w:qFormat/>
    <w:rsid w:val="007253E8"/>
    <w:pPr>
      <w:spacing w:after="120" w:line="360" w:lineRule="auto"/>
      <w:ind w:left="567" w:right="595"/>
    </w:pPr>
    <w:rPr>
      <w:rFonts w:ascii="Arial" w:hAnsi="Arial"/>
      <w:sz w:val="18"/>
      <w:szCs w:val="22"/>
      <w:lang w:eastAsia="en-US"/>
    </w:rPr>
  </w:style>
  <w:style w:type="paragraph" w:styleId="BalloonText">
    <w:name w:val="Balloon Text"/>
    <w:basedOn w:val="Normal"/>
    <w:link w:val="BalloonTextChar"/>
    <w:uiPriority w:val="99"/>
    <w:semiHidden/>
    <w:rsid w:val="003265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character" w:styleId="FollowedHyperlink">
    <w:name w:val="FollowedHyperlink"/>
    <w:basedOn w:val="DefaultParagraphFont"/>
    <w:uiPriority w:val="99"/>
    <w:semiHidden/>
    <w:rsid w:val="00840588"/>
    <w:rPr>
      <w:color w:val="0000FF"/>
      <w:u w:val="single"/>
    </w:rPr>
  </w:style>
  <w:style w:type="paragraph" w:customStyle="1" w:styleId="HH009Normal">
    <w:name w:val="HH 009 Normal"/>
    <w:qFormat/>
    <w:rsid w:val="00C424AD"/>
    <w:pPr>
      <w:spacing w:after="60" w:line="300" w:lineRule="auto"/>
      <w:jc w:val="both"/>
    </w:pPr>
    <w:rPr>
      <w:rFonts w:ascii="Georgia" w:eastAsiaTheme="minorHAnsi" w:hAnsi="Georgia" w:cstheme="minorBidi"/>
      <w:sz w:val="22"/>
      <w:szCs w:val="22"/>
      <w:lang w:eastAsia="en-US"/>
    </w:rPr>
  </w:style>
  <w:style w:type="character" w:customStyle="1" w:styleId="Heading4Char">
    <w:name w:val="Heading 4 Char"/>
    <w:basedOn w:val="DefaultParagraphFont"/>
    <w:link w:val="Heading4"/>
    <w:rsid w:val="00421168"/>
    <w:rPr>
      <w:rFonts w:ascii="Trebuchet MS" w:eastAsia="Trebuchet MS" w:hAnsi="Trebuchet MS" w:cs="Trebuchet MS"/>
      <w:color w:val="666666"/>
      <w:sz w:val="22"/>
      <w:szCs w:val="22"/>
      <w:u w:val="single"/>
    </w:rPr>
  </w:style>
  <w:style w:type="paragraph" w:styleId="ListParagraph">
    <w:name w:val="List Paragraph"/>
    <w:basedOn w:val="Normal"/>
    <w:uiPriority w:val="34"/>
    <w:qFormat/>
    <w:rsid w:val="00E23050"/>
    <w:pPr>
      <w:ind w:left="720"/>
      <w:contextualSpacing/>
    </w:pPr>
  </w:style>
  <w:style w:type="character" w:styleId="CommentReference">
    <w:name w:val="annotation reference"/>
    <w:basedOn w:val="DefaultParagraphFont"/>
    <w:uiPriority w:val="99"/>
    <w:semiHidden/>
    <w:rsid w:val="007918DE"/>
    <w:rPr>
      <w:sz w:val="16"/>
      <w:szCs w:val="16"/>
    </w:rPr>
  </w:style>
  <w:style w:type="paragraph" w:styleId="CommentText">
    <w:name w:val="annotation text"/>
    <w:basedOn w:val="Normal"/>
    <w:link w:val="CommentTextChar"/>
    <w:uiPriority w:val="99"/>
    <w:semiHidden/>
    <w:rsid w:val="007918DE"/>
    <w:pPr>
      <w:spacing w:line="240" w:lineRule="auto"/>
    </w:pPr>
    <w:rPr>
      <w:sz w:val="20"/>
      <w:szCs w:val="20"/>
    </w:rPr>
  </w:style>
  <w:style w:type="character" w:customStyle="1" w:styleId="CommentTextChar">
    <w:name w:val="Comment Text Char"/>
    <w:basedOn w:val="DefaultParagraphFont"/>
    <w:link w:val="CommentText"/>
    <w:uiPriority w:val="99"/>
    <w:semiHidden/>
    <w:rsid w:val="007918DE"/>
    <w:rPr>
      <w:rFonts w:ascii="Arial" w:eastAsia="Arial" w:hAnsi="Arial" w:cs="Arial"/>
      <w:color w:val="000000"/>
    </w:rPr>
  </w:style>
  <w:style w:type="paragraph" w:styleId="CommentSubject">
    <w:name w:val="annotation subject"/>
    <w:basedOn w:val="CommentText"/>
    <w:next w:val="CommentText"/>
    <w:link w:val="CommentSubjectChar"/>
    <w:uiPriority w:val="99"/>
    <w:semiHidden/>
    <w:rsid w:val="007918DE"/>
    <w:rPr>
      <w:b/>
      <w:bCs/>
    </w:rPr>
  </w:style>
  <w:style w:type="character" w:customStyle="1" w:styleId="CommentSubjectChar">
    <w:name w:val="Comment Subject Char"/>
    <w:basedOn w:val="CommentTextChar"/>
    <w:link w:val="CommentSubject"/>
    <w:uiPriority w:val="99"/>
    <w:semiHidden/>
    <w:rsid w:val="007918DE"/>
    <w:rPr>
      <w:rFonts w:ascii="Arial" w:eastAsia="Arial" w:hAnsi="Arial" w:cs="Arial"/>
      <w:b/>
      <w:bCs/>
      <w:color w:val="000000"/>
    </w:rPr>
  </w:style>
  <w:style w:type="character" w:customStyle="1" w:styleId="Heading5Char">
    <w:name w:val="Heading 5 Char"/>
    <w:basedOn w:val="DefaultParagraphFont"/>
    <w:link w:val="Heading5"/>
    <w:uiPriority w:val="9"/>
    <w:semiHidden/>
    <w:rsid w:val="009E3BAC"/>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4E14AF"/>
    <w:rPr>
      <w:rFonts w:ascii="Arial" w:eastAsia="Arial" w:hAnsi="Arial" w:cs="Arial"/>
      <w:color w:val="000000"/>
      <w:sz w:val="22"/>
      <w:szCs w:val="22"/>
    </w:rPr>
  </w:style>
  <w:style w:type="paragraph" w:styleId="NormalWeb">
    <w:name w:val="Normal (Web)"/>
    <w:basedOn w:val="Normal"/>
    <w:uiPriority w:val="99"/>
    <w:semiHidden/>
    <w:unhideWhenUsed/>
    <w:rsid w:val="007E3B0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Hyperlink" w:uiPriority="0" w:qFormat="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421168"/>
    <w:pPr>
      <w:spacing w:line="276" w:lineRule="auto"/>
    </w:pPr>
    <w:rPr>
      <w:rFonts w:ascii="Arial" w:eastAsia="Arial" w:hAnsi="Arial" w:cs="Arial"/>
      <w:color w:val="000000"/>
      <w:sz w:val="22"/>
      <w:szCs w:val="22"/>
    </w:rPr>
  </w:style>
  <w:style w:type="paragraph" w:styleId="Heading4">
    <w:name w:val="heading 4"/>
    <w:basedOn w:val="Normal"/>
    <w:next w:val="Normal"/>
    <w:link w:val="Heading4Char"/>
    <w:rsid w:val="0042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semiHidden/>
    <w:qFormat/>
    <w:rsid w:val="009E3B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117A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D3578"/>
  </w:style>
  <w:style w:type="paragraph" w:styleId="Footer">
    <w:name w:val="footer"/>
    <w:basedOn w:val="Normal"/>
    <w:link w:val="FooterChar"/>
    <w:uiPriority w:val="99"/>
    <w:semiHidden/>
    <w:rsid w:val="003117A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D3578"/>
  </w:style>
  <w:style w:type="paragraph" w:customStyle="1" w:styleId="GRP001Header">
    <w:name w:val="GRP 001 Header"/>
    <w:qFormat/>
    <w:rsid w:val="007253E8"/>
    <w:pPr>
      <w:ind w:left="1418"/>
      <w:jc w:val="right"/>
    </w:pPr>
    <w:rPr>
      <w:rFonts w:ascii="Arial Narrow" w:eastAsia="Times New Roman" w:hAnsi="Arial Narrow"/>
      <w:caps/>
      <w:noProof/>
      <w:color w:val="F68C50"/>
      <w:spacing w:val="-30"/>
      <w:sz w:val="64"/>
      <w:szCs w:val="72"/>
    </w:rPr>
  </w:style>
  <w:style w:type="paragraph" w:customStyle="1" w:styleId="GRP002BriefTitle">
    <w:name w:val="GRP 002 Brief Title"/>
    <w:qFormat/>
    <w:rsid w:val="007253E8"/>
    <w:pPr>
      <w:spacing w:after="100" w:afterAutospacing="1" w:line="720" w:lineRule="exact"/>
      <w:ind w:left="567"/>
      <w:jc w:val="right"/>
    </w:pPr>
    <w:rPr>
      <w:rFonts w:ascii="Arial Narrow" w:eastAsia="Times New Roman" w:hAnsi="Arial Narrow"/>
      <w:caps/>
      <w:noProof/>
      <w:color w:val="FAA61A"/>
      <w:spacing w:val="-30"/>
      <w:sz w:val="64"/>
      <w:szCs w:val="72"/>
    </w:rPr>
  </w:style>
  <w:style w:type="paragraph" w:customStyle="1" w:styleId="GRP003Date">
    <w:name w:val="GRP 003 Date"/>
    <w:qFormat/>
    <w:rsid w:val="007253E8"/>
    <w:pPr>
      <w:spacing w:line="280" w:lineRule="exact"/>
      <w:jc w:val="right"/>
    </w:pPr>
    <w:rPr>
      <w:rFonts w:ascii="Arial Narrow" w:eastAsia="Times New Roman" w:hAnsi="Arial Narrow"/>
      <w:color w:val="F68C50"/>
      <w:spacing w:val="-20"/>
      <w:sz w:val="28"/>
      <w:szCs w:val="32"/>
      <w:lang w:eastAsia="en-IE"/>
    </w:rPr>
  </w:style>
  <w:style w:type="paragraph" w:customStyle="1" w:styleId="GRP004AbstractBox">
    <w:name w:val="GRP 004 Abstract Box"/>
    <w:qFormat/>
    <w:rsid w:val="00792A53"/>
    <w:pPr>
      <w:spacing w:after="60" w:line="276" w:lineRule="auto"/>
    </w:pPr>
    <w:rPr>
      <w:rFonts w:ascii="Georgia" w:eastAsia="Times New Roman" w:hAnsi="Georgia"/>
      <w:color w:val="F37043"/>
      <w:sz w:val="22"/>
      <w:szCs w:val="24"/>
      <w:lang w:eastAsia="en-US"/>
    </w:rPr>
  </w:style>
  <w:style w:type="paragraph" w:customStyle="1" w:styleId="GRP005SubtitleLv1">
    <w:name w:val="GRP 005 Subtitle Lv1"/>
    <w:next w:val="GRP009Normal"/>
    <w:qFormat/>
    <w:rsid w:val="00CD2103"/>
    <w:pPr>
      <w:keepNext/>
      <w:pBdr>
        <w:bottom w:val="single" w:sz="4" w:space="1" w:color="DA1D52"/>
      </w:pBdr>
      <w:spacing w:before="240" w:after="120"/>
    </w:pPr>
    <w:rPr>
      <w:rFonts w:ascii="Arial Narrow" w:hAnsi="Arial Narrow"/>
      <w:b/>
      <w:smallCaps/>
      <w:color w:val="F68C50"/>
      <w:spacing w:val="-20"/>
      <w:sz w:val="56"/>
      <w:szCs w:val="22"/>
      <w:lang w:eastAsia="en-US"/>
    </w:rPr>
  </w:style>
  <w:style w:type="paragraph" w:customStyle="1" w:styleId="GRP006SubtitleLv2">
    <w:name w:val="GRP 006 Subtitle Lv2"/>
    <w:next w:val="GRP009Normal"/>
    <w:qFormat/>
    <w:rsid w:val="00CD2103"/>
    <w:pPr>
      <w:keepNext/>
      <w:spacing w:after="60"/>
    </w:pPr>
    <w:rPr>
      <w:rFonts w:ascii="Arial" w:hAnsi="Arial" w:cs="Arial"/>
      <w:color w:val="F68C50"/>
      <w:spacing w:val="-20"/>
      <w:sz w:val="40"/>
      <w:szCs w:val="22"/>
      <w:lang w:eastAsia="en-US"/>
    </w:rPr>
  </w:style>
  <w:style w:type="paragraph" w:customStyle="1" w:styleId="GRP007SubtitleLv3">
    <w:name w:val="GRP 007 Subtitle Lv3"/>
    <w:next w:val="GRP009Normal"/>
    <w:qFormat/>
    <w:rsid w:val="00CD2103"/>
    <w:pPr>
      <w:keepNext/>
      <w:spacing w:after="60"/>
    </w:pPr>
    <w:rPr>
      <w:rFonts w:ascii="Arial Narrow" w:hAnsi="Arial Narrow"/>
      <w:color w:val="FAA61A"/>
      <w:spacing w:val="-20"/>
      <w:sz w:val="32"/>
      <w:szCs w:val="22"/>
      <w:lang w:eastAsia="en-US"/>
    </w:rPr>
  </w:style>
  <w:style w:type="paragraph" w:customStyle="1" w:styleId="GRP009Normal">
    <w:name w:val="GRP 009 Normal"/>
    <w:qFormat/>
    <w:rsid w:val="00792A53"/>
    <w:pPr>
      <w:spacing w:after="60" w:line="276" w:lineRule="auto"/>
      <w:jc w:val="both"/>
    </w:pPr>
    <w:rPr>
      <w:rFonts w:ascii="Arial" w:hAnsi="Arial"/>
      <w:sz w:val="22"/>
      <w:szCs w:val="22"/>
      <w:lang w:eastAsia="en-US"/>
    </w:rPr>
  </w:style>
  <w:style w:type="numbering" w:customStyle="1" w:styleId="HH10NumbersList">
    <w:name w:val="HH 10 Numbers List"/>
    <w:basedOn w:val="NoList"/>
    <w:uiPriority w:val="99"/>
    <w:rsid w:val="00844037"/>
    <w:pPr>
      <w:numPr>
        <w:numId w:val="15"/>
      </w:numPr>
    </w:pPr>
  </w:style>
  <w:style w:type="character" w:customStyle="1" w:styleId="GRP009aBold">
    <w:name w:val="GRP 009a Bold"/>
    <w:basedOn w:val="DefaultParagraphFont"/>
    <w:uiPriority w:val="1"/>
    <w:qFormat/>
    <w:rsid w:val="007558AB"/>
    <w:rPr>
      <w:b/>
    </w:rPr>
  </w:style>
  <w:style w:type="character" w:customStyle="1" w:styleId="GRP009bItalic">
    <w:name w:val="GRP 009b Italic"/>
    <w:basedOn w:val="DefaultParagraphFont"/>
    <w:uiPriority w:val="1"/>
    <w:qFormat/>
    <w:rsid w:val="007558AB"/>
    <w:rPr>
      <w:i/>
    </w:rPr>
  </w:style>
  <w:style w:type="character" w:customStyle="1" w:styleId="GRP009cUnderline">
    <w:name w:val="GRP 009c Underline"/>
    <w:basedOn w:val="DefaultParagraphFont"/>
    <w:uiPriority w:val="1"/>
    <w:qFormat/>
    <w:rsid w:val="007558AB"/>
    <w:rPr>
      <w:u w:val="single"/>
    </w:rPr>
  </w:style>
  <w:style w:type="character" w:customStyle="1" w:styleId="GRP009dBoldItalic">
    <w:name w:val="GRP 009d Bold Italic"/>
    <w:basedOn w:val="DefaultParagraphFont"/>
    <w:uiPriority w:val="1"/>
    <w:qFormat/>
    <w:rsid w:val="007558AB"/>
    <w:rPr>
      <w:b/>
      <w:i/>
    </w:rPr>
  </w:style>
  <w:style w:type="character" w:customStyle="1" w:styleId="GRP009eBoldUnderline">
    <w:name w:val="GRP 009e Bold Underline"/>
    <w:basedOn w:val="DefaultParagraphFont"/>
    <w:uiPriority w:val="1"/>
    <w:qFormat/>
    <w:rsid w:val="007558AB"/>
    <w:rPr>
      <w:b/>
      <w:u w:val="single"/>
    </w:rPr>
  </w:style>
  <w:style w:type="character" w:customStyle="1" w:styleId="GRP009fItalicUnderline">
    <w:name w:val="GRP 009f Italic Underline"/>
    <w:basedOn w:val="DefaultParagraphFont"/>
    <w:uiPriority w:val="1"/>
    <w:qFormat/>
    <w:rsid w:val="007558AB"/>
    <w:rPr>
      <w:i/>
      <w:u w:val="single"/>
    </w:rPr>
  </w:style>
  <w:style w:type="character" w:customStyle="1" w:styleId="GRP009g">
    <w:name w:val="GRP 009g"/>
    <w:basedOn w:val="DefaultParagraphFont"/>
    <w:uiPriority w:val="1"/>
    <w:qFormat/>
    <w:rsid w:val="007558AB"/>
    <w:rPr>
      <w:b/>
      <w:i/>
      <w:u w:val="single"/>
    </w:rPr>
  </w:style>
  <w:style w:type="character" w:styleId="Hyperlink">
    <w:name w:val="Hyperlink"/>
    <w:aliases w:val="GRP 11 Hyperlink"/>
    <w:basedOn w:val="DefaultParagraphFont"/>
    <w:qFormat/>
    <w:rsid w:val="004E6B18"/>
    <w:rPr>
      <w:color w:val="0000FF"/>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line="280" w:lineRule="exact"/>
      <w:jc w:val="both"/>
    </w:pPr>
    <w:rPr>
      <w:rFonts w:ascii="Arial" w:eastAsia="ヒラギノ角ゴ Pro W3" w:hAnsi="Arial"/>
      <w:i/>
      <w:color w:val="000000"/>
      <w:sz w:val="16"/>
      <w:szCs w:val="16"/>
      <w:lang w:val="en-US"/>
    </w:rPr>
  </w:style>
  <w:style w:type="paragraph" w:customStyle="1" w:styleId="GRP020PageNumber">
    <w:name w:val="GRP 020 Page Number"/>
    <w:qFormat/>
    <w:rsid w:val="007253E8"/>
    <w:pPr>
      <w:spacing w:after="200" w:line="276" w:lineRule="auto"/>
      <w:jc w:val="right"/>
    </w:pPr>
    <w:rPr>
      <w:rFonts w:ascii="Arial" w:eastAsia="ヒラギノ角ゴ Pro W3" w:hAnsi="Arial"/>
      <w:color w:val="000000"/>
      <w:sz w:val="16"/>
      <w:szCs w:val="16"/>
      <w:lang w:val="en-US"/>
    </w:rPr>
  </w:style>
  <w:style w:type="table" w:styleId="TableGrid">
    <w:name w:val="Table Grid"/>
    <w:basedOn w:val="TableNormal"/>
    <w:uiPriority w:val="59"/>
    <w:rsid w:val="005A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jc w:val="center"/>
    </w:pPr>
    <w:rPr>
      <w:rFonts w:ascii="Georgia" w:hAnsi="Georgia"/>
      <w:sz w:val="18"/>
    </w:rPr>
    <w:tblPr/>
    <w:tcPr>
      <w:shd w:val="clear" w:color="auto" w:fill="auto"/>
      <w:vAlign w:val="center"/>
    </w:tcPr>
    <w:tblStylePr w:type="firstRow">
      <w:pPr>
        <w:jc w:val="center"/>
      </w:pPr>
      <w:rPr>
        <w:rFonts w:ascii="WWF" w:hAnsi="WWF"/>
        <w:b w:val="0"/>
        <w:color w:val="FFFFFF"/>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GRP012TableTitle">
    <w:name w:val="GRP 012 Table Title"/>
    <w:qFormat/>
    <w:rsid w:val="007253E8"/>
    <w:pPr>
      <w:spacing w:before="120" w:after="60"/>
    </w:pPr>
    <w:rPr>
      <w:rFonts w:ascii="Arial" w:hAnsi="Arial"/>
      <w:b/>
      <w:sz w:val="22"/>
      <w:lang w:eastAsia="en-US"/>
    </w:rPr>
  </w:style>
  <w:style w:type="paragraph" w:customStyle="1" w:styleId="GRP013TableSource">
    <w:name w:val="GRP 013 Table Source"/>
    <w:qFormat/>
    <w:rsid w:val="007253E8"/>
    <w:pPr>
      <w:spacing w:before="60" w:after="120"/>
    </w:pPr>
    <w:rPr>
      <w:rFonts w:ascii="Arial" w:hAnsi="Arial"/>
      <w:i/>
      <w:sz w:val="17"/>
      <w:szCs w:val="17"/>
      <w:lang w:eastAsia="en-US"/>
    </w:rPr>
  </w:style>
  <w:style w:type="paragraph" w:customStyle="1" w:styleId="GRP10CiteIndent">
    <w:name w:val="GRP 10 Cite Indent"/>
    <w:qFormat/>
    <w:rsid w:val="007253E8"/>
    <w:pPr>
      <w:spacing w:after="120" w:line="360" w:lineRule="auto"/>
      <w:ind w:left="567" w:right="595"/>
    </w:pPr>
    <w:rPr>
      <w:rFonts w:ascii="Arial" w:hAnsi="Arial"/>
      <w:sz w:val="18"/>
      <w:szCs w:val="22"/>
      <w:lang w:eastAsia="en-US"/>
    </w:rPr>
  </w:style>
  <w:style w:type="paragraph" w:styleId="BalloonText">
    <w:name w:val="Balloon Text"/>
    <w:basedOn w:val="Normal"/>
    <w:link w:val="BalloonTextChar"/>
    <w:uiPriority w:val="99"/>
    <w:semiHidden/>
    <w:rsid w:val="003265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character" w:styleId="FollowedHyperlink">
    <w:name w:val="FollowedHyperlink"/>
    <w:basedOn w:val="DefaultParagraphFont"/>
    <w:uiPriority w:val="99"/>
    <w:semiHidden/>
    <w:rsid w:val="00840588"/>
    <w:rPr>
      <w:color w:val="0000FF"/>
      <w:u w:val="single"/>
    </w:rPr>
  </w:style>
  <w:style w:type="paragraph" w:customStyle="1" w:styleId="HH009Normal">
    <w:name w:val="HH 009 Normal"/>
    <w:qFormat/>
    <w:rsid w:val="00C424AD"/>
    <w:pPr>
      <w:spacing w:after="60" w:line="300" w:lineRule="auto"/>
      <w:jc w:val="both"/>
    </w:pPr>
    <w:rPr>
      <w:rFonts w:ascii="Georgia" w:eastAsiaTheme="minorHAnsi" w:hAnsi="Georgia" w:cstheme="minorBidi"/>
      <w:sz w:val="22"/>
      <w:szCs w:val="22"/>
      <w:lang w:eastAsia="en-US"/>
    </w:rPr>
  </w:style>
  <w:style w:type="character" w:customStyle="1" w:styleId="Heading4Char">
    <w:name w:val="Heading 4 Char"/>
    <w:basedOn w:val="DefaultParagraphFont"/>
    <w:link w:val="Heading4"/>
    <w:rsid w:val="00421168"/>
    <w:rPr>
      <w:rFonts w:ascii="Trebuchet MS" w:eastAsia="Trebuchet MS" w:hAnsi="Trebuchet MS" w:cs="Trebuchet MS"/>
      <w:color w:val="666666"/>
      <w:sz w:val="22"/>
      <w:szCs w:val="22"/>
      <w:u w:val="single"/>
    </w:rPr>
  </w:style>
  <w:style w:type="paragraph" w:styleId="ListParagraph">
    <w:name w:val="List Paragraph"/>
    <w:basedOn w:val="Normal"/>
    <w:uiPriority w:val="34"/>
    <w:qFormat/>
    <w:rsid w:val="00E23050"/>
    <w:pPr>
      <w:ind w:left="720"/>
      <w:contextualSpacing/>
    </w:pPr>
  </w:style>
  <w:style w:type="character" w:styleId="CommentReference">
    <w:name w:val="annotation reference"/>
    <w:basedOn w:val="DefaultParagraphFont"/>
    <w:uiPriority w:val="99"/>
    <w:semiHidden/>
    <w:rsid w:val="007918DE"/>
    <w:rPr>
      <w:sz w:val="16"/>
      <w:szCs w:val="16"/>
    </w:rPr>
  </w:style>
  <w:style w:type="paragraph" w:styleId="CommentText">
    <w:name w:val="annotation text"/>
    <w:basedOn w:val="Normal"/>
    <w:link w:val="CommentTextChar"/>
    <w:uiPriority w:val="99"/>
    <w:semiHidden/>
    <w:rsid w:val="007918DE"/>
    <w:pPr>
      <w:spacing w:line="240" w:lineRule="auto"/>
    </w:pPr>
    <w:rPr>
      <w:sz w:val="20"/>
      <w:szCs w:val="20"/>
    </w:rPr>
  </w:style>
  <w:style w:type="character" w:customStyle="1" w:styleId="CommentTextChar">
    <w:name w:val="Comment Text Char"/>
    <w:basedOn w:val="DefaultParagraphFont"/>
    <w:link w:val="CommentText"/>
    <w:uiPriority w:val="99"/>
    <w:semiHidden/>
    <w:rsid w:val="007918DE"/>
    <w:rPr>
      <w:rFonts w:ascii="Arial" w:eastAsia="Arial" w:hAnsi="Arial" w:cs="Arial"/>
      <w:color w:val="000000"/>
    </w:rPr>
  </w:style>
  <w:style w:type="paragraph" w:styleId="CommentSubject">
    <w:name w:val="annotation subject"/>
    <w:basedOn w:val="CommentText"/>
    <w:next w:val="CommentText"/>
    <w:link w:val="CommentSubjectChar"/>
    <w:uiPriority w:val="99"/>
    <w:semiHidden/>
    <w:rsid w:val="007918DE"/>
    <w:rPr>
      <w:b/>
      <w:bCs/>
    </w:rPr>
  </w:style>
  <w:style w:type="character" w:customStyle="1" w:styleId="CommentSubjectChar">
    <w:name w:val="Comment Subject Char"/>
    <w:basedOn w:val="CommentTextChar"/>
    <w:link w:val="CommentSubject"/>
    <w:uiPriority w:val="99"/>
    <w:semiHidden/>
    <w:rsid w:val="007918DE"/>
    <w:rPr>
      <w:rFonts w:ascii="Arial" w:eastAsia="Arial" w:hAnsi="Arial" w:cs="Arial"/>
      <w:b/>
      <w:bCs/>
      <w:color w:val="000000"/>
    </w:rPr>
  </w:style>
  <w:style w:type="character" w:customStyle="1" w:styleId="Heading5Char">
    <w:name w:val="Heading 5 Char"/>
    <w:basedOn w:val="DefaultParagraphFont"/>
    <w:link w:val="Heading5"/>
    <w:uiPriority w:val="9"/>
    <w:semiHidden/>
    <w:rsid w:val="009E3BAC"/>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4E14AF"/>
    <w:rPr>
      <w:rFonts w:ascii="Arial" w:eastAsia="Arial" w:hAnsi="Arial" w:cs="Arial"/>
      <w:color w:val="000000"/>
      <w:sz w:val="22"/>
      <w:szCs w:val="22"/>
    </w:rPr>
  </w:style>
  <w:style w:type="paragraph" w:styleId="NormalWeb">
    <w:name w:val="Normal (Web)"/>
    <w:basedOn w:val="Normal"/>
    <w:uiPriority w:val="99"/>
    <w:semiHidden/>
    <w:unhideWhenUsed/>
    <w:rsid w:val="007E3B0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9827">
      <w:bodyDiv w:val="1"/>
      <w:marLeft w:val="0"/>
      <w:marRight w:val="0"/>
      <w:marTop w:val="0"/>
      <w:marBottom w:val="0"/>
      <w:divBdr>
        <w:top w:val="none" w:sz="0" w:space="0" w:color="auto"/>
        <w:left w:val="none" w:sz="0" w:space="0" w:color="auto"/>
        <w:bottom w:val="none" w:sz="0" w:space="0" w:color="auto"/>
        <w:right w:val="none" w:sz="0" w:space="0" w:color="auto"/>
      </w:divBdr>
    </w:div>
    <w:div w:id="1083455557">
      <w:bodyDiv w:val="1"/>
      <w:marLeft w:val="0"/>
      <w:marRight w:val="0"/>
      <w:marTop w:val="0"/>
      <w:marBottom w:val="0"/>
      <w:divBdr>
        <w:top w:val="none" w:sz="0" w:space="0" w:color="auto"/>
        <w:left w:val="none" w:sz="0" w:space="0" w:color="auto"/>
        <w:bottom w:val="none" w:sz="0" w:space="0" w:color="auto"/>
        <w:right w:val="none" w:sz="0" w:space="0" w:color="auto"/>
      </w:divBdr>
      <w:divsChild>
        <w:div w:id="114297203">
          <w:marLeft w:val="0"/>
          <w:marRight w:val="0"/>
          <w:marTop w:val="0"/>
          <w:marBottom w:val="0"/>
          <w:divBdr>
            <w:top w:val="none" w:sz="0" w:space="0" w:color="auto"/>
            <w:left w:val="none" w:sz="0" w:space="0" w:color="auto"/>
            <w:bottom w:val="none" w:sz="0" w:space="0" w:color="auto"/>
            <w:right w:val="none" w:sz="0" w:space="0" w:color="auto"/>
          </w:divBdr>
        </w:div>
        <w:div w:id="2067679519">
          <w:marLeft w:val="0"/>
          <w:marRight w:val="0"/>
          <w:marTop w:val="0"/>
          <w:marBottom w:val="0"/>
          <w:divBdr>
            <w:top w:val="none" w:sz="0" w:space="0" w:color="auto"/>
            <w:left w:val="none" w:sz="0" w:space="0" w:color="auto"/>
            <w:bottom w:val="none" w:sz="0" w:space="0" w:color="auto"/>
            <w:right w:val="none" w:sz="0" w:space="0" w:color="auto"/>
          </w:divBdr>
        </w:div>
      </w:divsChild>
    </w:div>
    <w:div w:id="13600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f.panda.org/what_we_do/how_we_work/policy/post_2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ealalliance.org/our-memb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ealalliance.org/our-memb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jrc/sites/default/files/mpi_report_onlin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f.panda.org/what_we_do/how_we_work/policy/post_2015/"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Groups\Conservation\CPP\InternationalPolicy\HotHouse\Admin\Templates\GRP_2015__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E00E-0980-4FF7-9380-5FABEBDD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GRP_2015__Note.dotx</Template>
  <TotalTime>188</TotalTime>
  <Pages>6</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Guzzini</dc:creator>
  <cp:lastModifiedBy>Carlotta Bianchi</cp:lastModifiedBy>
  <cp:revision>10</cp:revision>
  <cp:lastPrinted>2015-09-03T13:29:00Z</cp:lastPrinted>
  <dcterms:created xsi:type="dcterms:W3CDTF">2015-10-23T08:33:00Z</dcterms:created>
  <dcterms:modified xsi:type="dcterms:W3CDTF">2015-10-23T14:41:00Z</dcterms:modified>
</cp:coreProperties>
</file>